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1871" w14:textId="44E4A0CE" w:rsidR="00AF51F1" w:rsidRPr="00983236" w:rsidRDefault="00AF51F1" w:rsidP="002612BC">
      <w:pPr>
        <w:pStyle w:val="Titre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983236">
        <w:rPr>
          <w:rFonts w:ascii="Times New Roman" w:hAnsi="Times New Roman" w:cs="Times New Roman"/>
          <w:b/>
          <w:sz w:val="28"/>
          <w:szCs w:val="28"/>
        </w:rPr>
        <w:t>Relevé de discussions du Conseil de l’ED DSP</w:t>
      </w:r>
      <w:r w:rsidRPr="00983236">
        <w:rPr>
          <w:rFonts w:ascii="Times New Roman" w:hAnsi="Times New Roman" w:cs="Times New Roman"/>
          <w:b/>
          <w:sz w:val="28"/>
          <w:szCs w:val="28"/>
        </w:rPr>
        <w:br/>
      </w:r>
      <w:r w:rsidR="0086406A" w:rsidRPr="00983236">
        <w:rPr>
          <w:rFonts w:ascii="Times New Roman" w:hAnsi="Times New Roman" w:cs="Times New Roman"/>
          <w:b/>
          <w:sz w:val="28"/>
          <w:szCs w:val="28"/>
        </w:rPr>
        <w:t>15 décembre</w:t>
      </w:r>
      <w:r w:rsidR="0062007F" w:rsidRPr="00983236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14:paraId="42C3AB00" w14:textId="77777777" w:rsidR="00AF51F1" w:rsidRPr="00983236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983236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présents :</w:t>
      </w:r>
    </w:p>
    <w:p w14:paraId="2EE8C9E5" w14:textId="11500562" w:rsidR="008857BE" w:rsidRPr="00983236" w:rsidRDefault="008857BE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Romain BENETEAU</w:t>
      </w:r>
      <w:r w:rsidRPr="00983236">
        <w:rPr>
          <w:rFonts w:ascii="Times New Roman" w:hAnsi="Times New Roman" w:cs="Times New Roman"/>
          <w:iCs/>
          <w:sz w:val="22"/>
          <w:szCs w:val="22"/>
        </w:rPr>
        <w:t>, représentant des doctorants</w:t>
      </w:r>
    </w:p>
    <w:p w14:paraId="45EB295D" w14:textId="77A2015E" w:rsidR="005D1780" w:rsidRPr="00983236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Amélia</w:t>
      </w:r>
      <w:r w:rsidRPr="0098323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83236">
        <w:rPr>
          <w:rFonts w:ascii="Times New Roman" w:hAnsi="Times New Roman" w:cs="Times New Roman"/>
          <w:i/>
          <w:iCs/>
          <w:sz w:val="22"/>
          <w:szCs w:val="22"/>
        </w:rPr>
        <w:t>BORE</w:t>
      </w:r>
      <w:r w:rsidRPr="00983236">
        <w:rPr>
          <w:rFonts w:ascii="Times New Roman" w:hAnsi="Times New Roman" w:cs="Times New Roman"/>
          <w:iCs/>
          <w:sz w:val="22"/>
          <w:szCs w:val="22"/>
        </w:rPr>
        <w:t>, représentante pour le site du Mans – gestionnaire</w:t>
      </w:r>
    </w:p>
    <w:p w14:paraId="7EF48272" w14:textId="576DD18E" w:rsidR="008857BE" w:rsidRPr="00983236" w:rsidRDefault="008857BE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Elise GUILLET</w:t>
      </w:r>
      <w:r w:rsidRPr="00983236">
        <w:rPr>
          <w:rFonts w:ascii="Times New Roman" w:hAnsi="Times New Roman" w:cs="Times New Roman"/>
          <w:iCs/>
          <w:sz w:val="22"/>
          <w:szCs w:val="22"/>
        </w:rPr>
        <w:t xml:space="preserve">, représentante pour le site d’Angers </w:t>
      </w:r>
      <w:r w:rsidR="005D1780" w:rsidRPr="00983236">
        <w:rPr>
          <w:rFonts w:ascii="Times New Roman" w:hAnsi="Times New Roman" w:cs="Times New Roman"/>
          <w:iCs/>
          <w:sz w:val="22"/>
          <w:szCs w:val="22"/>
        </w:rPr>
        <w:t xml:space="preserve">– </w:t>
      </w:r>
      <w:r w:rsidRPr="00983236">
        <w:rPr>
          <w:rFonts w:ascii="Times New Roman" w:hAnsi="Times New Roman" w:cs="Times New Roman"/>
          <w:iCs/>
          <w:sz w:val="22"/>
          <w:szCs w:val="22"/>
        </w:rPr>
        <w:t>gestionnaire</w:t>
      </w:r>
    </w:p>
    <w:p w14:paraId="1FB44066" w14:textId="1DAA6C96" w:rsidR="005D1780" w:rsidRPr="00983236" w:rsidRDefault="005D1780" w:rsidP="008857BE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Rozenn GUYONVARCH</w:t>
      </w:r>
      <w:r w:rsidRPr="00983236">
        <w:rPr>
          <w:rFonts w:ascii="Times New Roman" w:hAnsi="Times New Roman" w:cs="Times New Roman"/>
          <w:iCs/>
          <w:sz w:val="22"/>
          <w:szCs w:val="22"/>
        </w:rPr>
        <w:t>, représentante des doctorants</w:t>
      </w:r>
    </w:p>
    <w:p w14:paraId="0BCD9BDD" w14:textId="77777777" w:rsidR="00AF51F1" w:rsidRPr="00983236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Joël HAUTEBERT</w:t>
      </w:r>
      <w:r w:rsidR="00385BC8"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 xml:space="preserve">, Directeur-Adjoint de l’ED DSP </w:t>
      </w:r>
      <w:r w:rsidR="006977E4"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pour le site d’</w:t>
      </w:r>
      <w:r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Angers</w:t>
      </w:r>
    </w:p>
    <w:p w14:paraId="31494CF6" w14:textId="6AE21848" w:rsidR="005D1780" w:rsidRPr="00983236" w:rsidRDefault="004B4FF5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983236">
        <w:rPr>
          <w:rFonts w:ascii="Times New Roman" w:hAnsi="Times New Roman" w:cs="Times New Roman"/>
          <w:sz w:val="22"/>
          <w:szCs w:val="22"/>
        </w:rPr>
        <w:t>Jean-François BRUGGEMAN</w:t>
      </w:r>
      <w:r w:rsidR="005D1780" w:rsidRPr="00983236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5D1780" w:rsidRPr="00983236">
        <w:rPr>
          <w:rFonts w:ascii="Times New Roman" w:hAnsi="Times New Roman" w:cs="Times New Roman"/>
          <w:iCs/>
          <w:sz w:val="22"/>
          <w:szCs w:val="22"/>
        </w:rPr>
        <w:t>représentant du Collège Doctoral</w:t>
      </w:r>
    </w:p>
    <w:p w14:paraId="7AC440C1" w14:textId="3736333E" w:rsidR="00AF51F1" w:rsidRPr="00983236" w:rsidRDefault="00AF51F1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Audrey LEBOIS</w:t>
      </w:r>
      <w:r w:rsidR="00385BC8" w:rsidRPr="00983236">
        <w:rPr>
          <w:rFonts w:ascii="Times New Roman" w:hAnsi="Times New Roman" w:cs="Times New Roman"/>
          <w:iCs/>
          <w:sz w:val="22"/>
          <w:szCs w:val="22"/>
        </w:rPr>
        <w:t>, représentante</w:t>
      </w:r>
      <w:r w:rsidR="006977E4" w:rsidRPr="00983236">
        <w:rPr>
          <w:rFonts w:ascii="Times New Roman" w:hAnsi="Times New Roman" w:cs="Times New Roman"/>
          <w:iCs/>
          <w:sz w:val="22"/>
          <w:szCs w:val="22"/>
        </w:rPr>
        <w:t xml:space="preserve"> pour le</w:t>
      </w:r>
      <w:r w:rsidR="00385BC8" w:rsidRPr="00983236">
        <w:rPr>
          <w:rFonts w:ascii="Times New Roman" w:hAnsi="Times New Roman" w:cs="Times New Roman"/>
          <w:iCs/>
          <w:sz w:val="22"/>
          <w:szCs w:val="22"/>
        </w:rPr>
        <w:t xml:space="preserve"> site de Nantes </w:t>
      </w:r>
      <w:r w:rsidR="005D1780" w:rsidRPr="00983236">
        <w:rPr>
          <w:rFonts w:ascii="Times New Roman" w:hAnsi="Times New Roman" w:cs="Times New Roman"/>
          <w:iCs/>
          <w:sz w:val="22"/>
          <w:szCs w:val="22"/>
        </w:rPr>
        <w:t xml:space="preserve">- </w:t>
      </w:r>
      <w:r w:rsidRPr="00983236">
        <w:rPr>
          <w:rFonts w:ascii="Times New Roman" w:hAnsi="Times New Roman" w:cs="Times New Roman"/>
          <w:iCs/>
          <w:sz w:val="22"/>
          <w:szCs w:val="22"/>
        </w:rPr>
        <w:t>IRDP</w:t>
      </w:r>
    </w:p>
    <w:p w14:paraId="762681AB" w14:textId="1320FB32" w:rsidR="005D1780" w:rsidRPr="00983236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Cs/>
          <w:sz w:val="22"/>
          <w:szCs w:val="22"/>
        </w:rPr>
        <w:t xml:space="preserve">Sylvie </w:t>
      </w:r>
      <w:r w:rsidRPr="00983236">
        <w:rPr>
          <w:rFonts w:ascii="Times New Roman" w:hAnsi="Times New Roman" w:cs="Times New Roman"/>
          <w:i/>
          <w:iCs/>
          <w:sz w:val="22"/>
          <w:szCs w:val="22"/>
        </w:rPr>
        <w:t>LEBRETON-DERRIEN</w:t>
      </w:r>
      <w:r w:rsidRPr="0098323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D67065"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Directrice-Adjointe de l’ED DSP</w:t>
      </w:r>
      <w:r w:rsidRPr="00983236">
        <w:rPr>
          <w:rFonts w:ascii="Times New Roman" w:hAnsi="Times New Roman" w:cs="Times New Roman"/>
          <w:iCs/>
          <w:sz w:val="22"/>
          <w:szCs w:val="22"/>
        </w:rPr>
        <w:t xml:space="preserve"> pour le site du Mans - Thémis</w:t>
      </w:r>
    </w:p>
    <w:p w14:paraId="369E549C" w14:textId="084127C9" w:rsidR="00AF51F1" w:rsidRPr="00983236" w:rsidRDefault="00AF51F1" w:rsidP="00151839">
      <w:pPr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i/>
          <w:iCs/>
          <w:sz w:val="22"/>
          <w:szCs w:val="22"/>
          <w:lang w:eastAsia="fr-FR"/>
        </w:rPr>
        <w:t>Mylène LE ROUX</w:t>
      </w:r>
      <w:r w:rsidR="00385BC8"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, Directrice de l’ED DSP</w:t>
      </w:r>
    </w:p>
    <w:p w14:paraId="5A376F13" w14:textId="77777777" w:rsidR="005D1780" w:rsidRPr="00983236" w:rsidRDefault="005D1780" w:rsidP="00151839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670687CE" w14:textId="77777777" w:rsidR="004B4FF5" w:rsidRPr="00983236" w:rsidRDefault="00AF51F1" w:rsidP="004B4FF5">
      <w:pPr>
        <w:spacing w:after="0"/>
        <w:jc w:val="both"/>
        <w:rPr>
          <w:rFonts w:ascii="Times New Roman" w:hAnsi="Times New Roman" w:cs="Times New Roman"/>
          <w:b/>
          <w:iCs/>
          <w:sz w:val="22"/>
          <w:szCs w:val="22"/>
          <w:u w:val="single"/>
        </w:rPr>
      </w:pPr>
      <w:r w:rsidRPr="00983236">
        <w:rPr>
          <w:rFonts w:ascii="Times New Roman" w:hAnsi="Times New Roman" w:cs="Times New Roman"/>
          <w:b/>
          <w:iCs/>
          <w:sz w:val="22"/>
          <w:szCs w:val="22"/>
          <w:u w:val="single"/>
        </w:rPr>
        <w:t>Etaient excusés</w:t>
      </w:r>
      <w:r w:rsidRPr="00983236">
        <w:rPr>
          <w:rFonts w:ascii="Times New Roman" w:hAnsi="Times New Roman" w:cs="Times New Roman"/>
          <w:b/>
          <w:iCs/>
          <w:sz w:val="22"/>
          <w:szCs w:val="22"/>
        </w:rPr>
        <w:t> :</w:t>
      </w:r>
      <w:r w:rsidRPr="00983236">
        <w:rPr>
          <w:rFonts w:ascii="Times New Roman" w:hAnsi="Times New Roman" w:cs="Times New Roman"/>
          <w:b/>
          <w:iCs/>
          <w:sz w:val="22"/>
          <w:szCs w:val="22"/>
          <w:u w:val="single"/>
        </w:rPr>
        <w:t xml:space="preserve"> </w:t>
      </w:r>
    </w:p>
    <w:p w14:paraId="78BB5F2E" w14:textId="473F6B5C" w:rsidR="004B4FF5" w:rsidRPr="00983236" w:rsidRDefault="004B4FF5" w:rsidP="004B4FF5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Emmanuel</w:t>
      </w:r>
      <w:r w:rsidRPr="00983236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83236">
        <w:rPr>
          <w:rFonts w:ascii="Times New Roman" w:hAnsi="Times New Roman" w:cs="Times New Roman"/>
          <w:i/>
          <w:iCs/>
          <w:sz w:val="22"/>
          <w:szCs w:val="22"/>
        </w:rPr>
        <w:t>CHENEVAL</w:t>
      </w:r>
      <w:r w:rsidRPr="00983236">
        <w:rPr>
          <w:rFonts w:ascii="Times New Roman" w:hAnsi="Times New Roman" w:cs="Times New Roman"/>
          <w:iCs/>
          <w:sz w:val="22"/>
          <w:szCs w:val="22"/>
        </w:rPr>
        <w:t>, personnalité extérieure</w:t>
      </w:r>
    </w:p>
    <w:p w14:paraId="7D5A945C" w14:textId="2468ACD6" w:rsidR="0086406A" w:rsidRPr="00983236" w:rsidRDefault="0086406A" w:rsidP="0086406A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Gaétan CLIQUENNOIS</w:t>
      </w:r>
      <w:r w:rsidRPr="00983236">
        <w:rPr>
          <w:rFonts w:ascii="Times New Roman" w:hAnsi="Times New Roman" w:cs="Times New Roman"/>
          <w:iCs/>
          <w:sz w:val="22"/>
          <w:szCs w:val="22"/>
        </w:rPr>
        <w:t>, représentant pour le site de Nantes – DCS</w:t>
      </w:r>
    </w:p>
    <w:p w14:paraId="55F4B723" w14:textId="77777777" w:rsidR="0086406A" w:rsidRPr="00983236" w:rsidRDefault="0086406A" w:rsidP="0086406A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83236">
        <w:rPr>
          <w:rFonts w:ascii="Times New Roman" w:hAnsi="Times New Roman" w:cs="Times New Roman"/>
          <w:i/>
          <w:iCs/>
          <w:sz w:val="22"/>
          <w:szCs w:val="22"/>
        </w:rPr>
        <w:t>Odile DELFOUR-SAMAMA</w:t>
      </w:r>
      <w:r w:rsidRPr="00983236">
        <w:rPr>
          <w:rFonts w:ascii="Times New Roman" w:hAnsi="Times New Roman" w:cs="Times New Roman"/>
          <w:iCs/>
          <w:sz w:val="22"/>
          <w:szCs w:val="22"/>
        </w:rPr>
        <w:t>, représentante pour le site de Nantes - CDMO</w:t>
      </w:r>
    </w:p>
    <w:p w14:paraId="5EBB63E8" w14:textId="77777777" w:rsidR="0086406A" w:rsidRPr="00983236" w:rsidRDefault="0086406A" w:rsidP="0086406A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3856A402" w14:textId="77777777" w:rsidR="00AF51F1" w:rsidRPr="00983236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83236">
        <w:rPr>
          <w:rFonts w:ascii="Times New Roman" w:hAnsi="Times New Roman" w:cs="Times New Roman"/>
          <w:b/>
          <w:sz w:val="22"/>
          <w:szCs w:val="22"/>
          <w:u w:val="single"/>
        </w:rPr>
        <w:t>ORDRE DU JOUR</w:t>
      </w:r>
    </w:p>
    <w:p w14:paraId="43AAFE99" w14:textId="77777777" w:rsidR="0086406A" w:rsidRPr="00983236" w:rsidRDefault="0086406A" w:rsidP="0086406A">
      <w:pPr>
        <w:pStyle w:val="Paragraphedeliste"/>
        <w:numPr>
          <w:ilvl w:val="0"/>
          <w:numId w:val="3"/>
        </w:numPr>
        <w:spacing w:before="240" w:after="16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3236">
        <w:rPr>
          <w:rFonts w:ascii="Times New Roman" w:hAnsi="Times New Roman" w:cs="Times New Roman"/>
          <w:bCs/>
          <w:sz w:val="24"/>
          <w:szCs w:val="24"/>
        </w:rPr>
        <w:t xml:space="preserve">Approbation du CR du conseil du 28 septembre </w:t>
      </w: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>2023</w:t>
      </w:r>
    </w:p>
    <w:p w14:paraId="11F5F9CB" w14:textId="77777777" w:rsidR="0086406A" w:rsidRPr="00983236" w:rsidRDefault="0086406A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47C9BCB" w14:textId="77777777" w:rsidR="0086406A" w:rsidRPr="00983236" w:rsidRDefault="0086406A" w:rsidP="0086406A">
      <w:pPr>
        <w:pStyle w:val="Paragraphedeliste"/>
        <w:numPr>
          <w:ilvl w:val="0"/>
          <w:numId w:val="3"/>
        </w:numPr>
        <w:spacing w:before="240" w:after="16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>Adoption du budget 2024</w:t>
      </w:r>
    </w:p>
    <w:p w14:paraId="5B717351" w14:textId="77777777" w:rsidR="0086406A" w:rsidRPr="00983236" w:rsidRDefault="0086406A" w:rsidP="0086406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61C996" w14:textId="77777777" w:rsidR="0086406A" w:rsidRPr="00983236" w:rsidRDefault="0086406A" w:rsidP="0086406A">
      <w:pPr>
        <w:pStyle w:val="Paragraphedeliste"/>
        <w:numPr>
          <w:ilvl w:val="0"/>
          <w:numId w:val="3"/>
        </w:numPr>
        <w:spacing w:before="240" w:after="16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>Bilan de l’attribution de soutiens financiers aux doctorants</w:t>
      </w:r>
    </w:p>
    <w:p w14:paraId="047F4D32" w14:textId="77777777" w:rsidR="0086406A" w:rsidRPr="00983236" w:rsidRDefault="0086406A" w:rsidP="0086406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C13881" w14:textId="77777777" w:rsidR="0086406A" w:rsidRPr="00983236" w:rsidRDefault="0086406A" w:rsidP="0086406A">
      <w:pPr>
        <w:pStyle w:val="Paragraphedeliste"/>
        <w:numPr>
          <w:ilvl w:val="0"/>
          <w:numId w:val="3"/>
        </w:numPr>
        <w:spacing w:before="240" w:after="16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Avancée du projet de Master-Class </w:t>
      </w:r>
    </w:p>
    <w:p w14:paraId="69A16F53" w14:textId="77777777" w:rsidR="0086406A" w:rsidRPr="00983236" w:rsidRDefault="0086406A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38A169" w14:textId="77777777" w:rsidR="0086406A" w:rsidRPr="00983236" w:rsidRDefault="0086406A" w:rsidP="0086406A">
      <w:pPr>
        <w:pStyle w:val="Paragraphedeliste"/>
        <w:numPr>
          <w:ilvl w:val="0"/>
          <w:numId w:val="3"/>
        </w:numPr>
        <w:spacing w:before="240" w:after="16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Vie des sites </w:t>
      </w:r>
    </w:p>
    <w:p w14:paraId="08EBBDEE" w14:textId="77777777" w:rsidR="0086406A" w:rsidRPr="00983236" w:rsidRDefault="0086406A" w:rsidP="0086406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3C7390E" w14:textId="3E05FB6E" w:rsidR="00CB3918" w:rsidRPr="00983236" w:rsidRDefault="0086406A" w:rsidP="00983236">
      <w:pPr>
        <w:pStyle w:val="Paragraphedeliste"/>
        <w:numPr>
          <w:ilvl w:val="0"/>
          <w:numId w:val="3"/>
        </w:numPr>
        <w:tabs>
          <w:tab w:val="left" w:pos="709"/>
        </w:tabs>
        <w:spacing w:before="240" w:after="0" w:line="276" w:lineRule="auto"/>
        <w:ind w:left="0" w:firstLine="0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Questions diverses </w:t>
      </w:r>
      <w:r w:rsidRPr="0098323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          </w:t>
      </w:r>
    </w:p>
    <w:p w14:paraId="1D41474B" w14:textId="5BAECF95" w:rsidR="00F7099B" w:rsidRPr="00983236" w:rsidRDefault="00F7099B">
      <w:pPr>
        <w:spacing w:after="200"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983236"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5C5E6443" w14:textId="77777777" w:rsidR="008108FD" w:rsidRPr="00983236" w:rsidRDefault="008108FD">
      <w:pPr>
        <w:pBdr>
          <w:bottom w:val="single" w:sz="4" w:space="1" w:color="auto"/>
        </w:pBd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414994D6" w14:textId="2EA7FAC8" w:rsidR="00D7686C" w:rsidRPr="00983236" w:rsidRDefault="00AF51F1" w:rsidP="00F7099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83236">
        <w:rPr>
          <w:rFonts w:ascii="Times New Roman" w:hAnsi="Times New Roman" w:cs="Times New Roman"/>
          <w:b/>
          <w:i/>
          <w:sz w:val="22"/>
          <w:szCs w:val="22"/>
        </w:rPr>
        <w:t xml:space="preserve">Début de la séance : </w:t>
      </w:r>
      <w:r w:rsidR="00031EF3" w:rsidRPr="00983236">
        <w:rPr>
          <w:rFonts w:ascii="Times New Roman" w:hAnsi="Times New Roman" w:cs="Times New Roman"/>
          <w:b/>
          <w:i/>
          <w:sz w:val="22"/>
          <w:szCs w:val="22"/>
        </w:rPr>
        <w:t>9</w:t>
      </w:r>
      <w:r w:rsidR="00C92D60" w:rsidRPr="00983236">
        <w:rPr>
          <w:rFonts w:ascii="Times New Roman" w:hAnsi="Times New Roman" w:cs="Times New Roman"/>
          <w:b/>
          <w:i/>
          <w:sz w:val="22"/>
          <w:szCs w:val="22"/>
        </w:rPr>
        <w:t>h</w:t>
      </w:r>
      <w:r w:rsidR="00031EF3" w:rsidRPr="00983236">
        <w:rPr>
          <w:rFonts w:ascii="Times New Roman" w:hAnsi="Times New Roman" w:cs="Times New Roman"/>
          <w:b/>
          <w:i/>
          <w:sz w:val="22"/>
          <w:szCs w:val="22"/>
        </w:rPr>
        <w:t>3</w:t>
      </w:r>
      <w:r w:rsidR="00C92D60" w:rsidRPr="00983236">
        <w:rPr>
          <w:rFonts w:ascii="Times New Roman" w:hAnsi="Times New Roman" w:cs="Times New Roman"/>
          <w:b/>
          <w:i/>
          <w:sz w:val="22"/>
          <w:szCs w:val="22"/>
        </w:rPr>
        <w:t>0</w:t>
      </w:r>
    </w:p>
    <w:p w14:paraId="2F4C2636" w14:textId="77777777" w:rsidR="00AF51F1" w:rsidRPr="00983236" w:rsidRDefault="00AF51F1" w:rsidP="0015183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0FF0AE9" w14:textId="4077C121" w:rsidR="0086406A" w:rsidRPr="00983236" w:rsidRDefault="0086406A" w:rsidP="0086406A">
      <w:pPr>
        <w:pStyle w:val="Paragraphedeliste"/>
        <w:spacing w:before="240" w:after="16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hAnsi="Times New Roman" w:cs="Times New Roman"/>
          <w:b/>
          <w:bCs/>
          <w:sz w:val="24"/>
          <w:szCs w:val="24"/>
        </w:rPr>
        <w:t xml:space="preserve">1. Approbation du CR du conseil du 28 septembre </w:t>
      </w: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2023</w:t>
      </w:r>
    </w:p>
    <w:p w14:paraId="7D1E9281" w14:textId="689A255A" w:rsidR="0086406A" w:rsidRPr="00983236" w:rsidRDefault="00D70314" w:rsidP="00EE7795">
      <w:pPr>
        <w:pStyle w:val="Paragraphedeliste"/>
        <w:spacing w:before="240" w:line="276" w:lineRule="auto"/>
        <w:ind w:left="709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Le compte rendu est adopté à l’unanimité</w:t>
      </w:r>
    </w:p>
    <w:p w14:paraId="7F761E13" w14:textId="77777777" w:rsidR="0086406A" w:rsidRPr="00983236" w:rsidRDefault="0086406A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E3D34E" w14:textId="3BC24489" w:rsidR="0086406A" w:rsidRPr="00983236" w:rsidRDefault="0086406A" w:rsidP="0086406A">
      <w:pPr>
        <w:pStyle w:val="Paragraphedeliste"/>
        <w:spacing w:before="240" w:after="16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2. Adoption du budget 2024</w:t>
      </w:r>
    </w:p>
    <w:p w14:paraId="76E59136" w14:textId="77777777" w:rsidR="00B21FB3" w:rsidRPr="00983236" w:rsidRDefault="00B21FB3" w:rsidP="00B21FB3">
      <w:pPr>
        <w:rPr>
          <w:rFonts w:ascii="Times New Roman" w:hAnsi="Times New Roman" w:cs="Times New Roman"/>
          <w:b/>
          <w:sz w:val="24"/>
        </w:rPr>
      </w:pPr>
      <w:r w:rsidRPr="00983236">
        <w:rPr>
          <w:rFonts w:ascii="Times New Roman" w:hAnsi="Times New Roman" w:cs="Times New Roman"/>
          <w:b/>
          <w:sz w:val="24"/>
        </w:rPr>
        <w:t>Recettes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8"/>
        <w:gridCol w:w="1860"/>
        <w:gridCol w:w="1276"/>
      </w:tblGrid>
      <w:tr w:rsidR="0003749D" w:rsidRPr="00983236" w14:paraId="07969D99" w14:textId="77777777" w:rsidTr="00A8537A">
        <w:trPr>
          <w:jc w:val="center"/>
        </w:trPr>
        <w:tc>
          <w:tcPr>
            <w:tcW w:w="5648" w:type="dxa"/>
            <w:tcBorders>
              <w:bottom w:val="single" w:sz="4" w:space="0" w:color="auto"/>
            </w:tcBorders>
            <w:shd w:val="clear" w:color="auto" w:fill="9CC2E5"/>
          </w:tcPr>
          <w:p w14:paraId="192EF2E4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Catégorie</w:t>
            </w:r>
          </w:p>
        </w:tc>
        <w:tc>
          <w:tcPr>
            <w:tcW w:w="1860" w:type="dxa"/>
            <w:shd w:val="clear" w:color="auto" w:fill="9CC2E5"/>
          </w:tcPr>
          <w:p w14:paraId="3928D7BD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Calcul</w:t>
            </w:r>
          </w:p>
        </w:tc>
        <w:tc>
          <w:tcPr>
            <w:tcW w:w="1276" w:type="dxa"/>
            <w:shd w:val="clear" w:color="auto" w:fill="9CC2E5"/>
          </w:tcPr>
          <w:p w14:paraId="6EE94F5D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Totaux</w:t>
            </w:r>
          </w:p>
        </w:tc>
      </w:tr>
      <w:tr w:rsidR="0003749D" w:rsidRPr="00983236" w14:paraId="3256AB55" w14:textId="77777777" w:rsidTr="00A8537A">
        <w:trPr>
          <w:trHeight w:hRule="exact" w:val="851"/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38289EF8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Dotation prévisionnelle 2024 calculée sur les inscrits en D1 + D2 + D3 </w:t>
            </w:r>
          </w:p>
          <w:p w14:paraId="09676644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1" w:type="dxa"/>
          </w:tcPr>
          <w:p w14:paraId="5ECAEDD5" w14:textId="77777777" w:rsidR="0003749D" w:rsidRPr="00983236" w:rsidRDefault="0003749D" w:rsidP="00A853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100 € X 88 doctorants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2E7E3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8 800 </w:t>
            </w: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03749D" w:rsidRPr="00983236" w14:paraId="06F5D315" w14:textId="77777777" w:rsidTr="00A8537A">
        <w:trPr>
          <w:trHeight w:hRule="exact" w:val="851"/>
          <w:jc w:val="center"/>
        </w:trPr>
        <w:tc>
          <w:tcPr>
            <w:tcW w:w="5648" w:type="dxa"/>
            <w:shd w:val="clear" w:color="auto" w:fill="auto"/>
            <w:vAlign w:val="center"/>
          </w:tcPr>
          <w:p w14:paraId="41F7BABD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Report budget 2023</w:t>
            </w:r>
          </w:p>
        </w:tc>
        <w:tc>
          <w:tcPr>
            <w:tcW w:w="1361" w:type="dxa"/>
          </w:tcPr>
          <w:p w14:paraId="57C3BCDA" w14:textId="77777777" w:rsidR="0003749D" w:rsidRPr="00983236" w:rsidRDefault="0003749D" w:rsidP="00A853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0C905" w14:textId="77777777" w:rsidR="0003749D" w:rsidRPr="00983236" w:rsidRDefault="0003749D" w:rsidP="00A8537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7 437 </w:t>
            </w: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  <w:p w14:paraId="699C85C7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C50FA4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7 437 </w:t>
            </w: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03749D" w:rsidRPr="00983236" w14:paraId="6B65D35F" w14:textId="77777777" w:rsidTr="00A8537A">
        <w:trPr>
          <w:jc w:val="center"/>
        </w:trPr>
        <w:tc>
          <w:tcPr>
            <w:tcW w:w="5648" w:type="dxa"/>
            <w:shd w:val="clear" w:color="auto" w:fill="9CC2E5"/>
            <w:vAlign w:val="center"/>
          </w:tcPr>
          <w:p w14:paraId="1FAF9191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Total général</w:t>
            </w:r>
          </w:p>
        </w:tc>
        <w:tc>
          <w:tcPr>
            <w:tcW w:w="1361" w:type="dxa"/>
            <w:shd w:val="clear" w:color="auto" w:fill="9CC2E5"/>
          </w:tcPr>
          <w:p w14:paraId="2D701F59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9CC2E5"/>
            <w:vAlign w:val="center"/>
          </w:tcPr>
          <w:p w14:paraId="416F7199" w14:textId="77777777" w:rsidR="0003749D" w:rsidRPr="00983236" w:rsidRDefault="0003749D" w:rsidP="00A8537A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16 237€</w:t>
            </w:r>
          </w:p>
        </w:tc>
      </w:tr>
    </w:tbl>
    <w:p w14:paraId="06F71838" w14:textId="3C6AC6B8" w:rsidR="00B21FB3" w:rsidRPr="00983236" w:rsidRDefault="00B21FB3" w:rsidP="00B21FB3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8CD7F" w14:textId="459AC92F" w:rsidR="00B21FB3" w:rsidRPr="00983236" w:rsidRDefault="00B21FB3" w:rsidP="00B21F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83236">
        <w:rPr>
          <w:rFonts w:ascii="Times New Roman" w:hAnsi="Times New Roman" w:cs="Times New Roman"/>
          <w:b/>
          <w:bCs/>
          <w:sz w:val="24"/>
          <w:szCs w:val="24"/>
        </w:rPr>
        <w:t xml:space="preserve">Dépenses : </w:t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83236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402"/>
      </w:tblGrid>
      <w:tr w:rsidR="00B21FB3" w:rsidRPr="00983236" w14:paraId="066DA46B" w14:textId="77777777" w:rsidTr="00A8537A">
        <w:tc>
          <w:tcPr>
            <w:tcW w:w="5529" w:type="dxa"/>
            <w:shd w:val="clear" w:color="auto" w:fill="9CC2E5"/>
          </w:tcPr>
          <w:p w14:paraId="5FA060F8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Postes de dépense</w:t>
            </w:r>
          </w:p>
        </w:tc>
        <w:tc>
          <w:tcPr>
            <w:tcW w:w="3402" w:type="dxa"/>
            <w:shd w:val="clear" w:color="auto" w:fill="9CC2E5"/>
          </w:tcPr>
          <w:p w14:paraId="26B4F026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Montant prévisionnel  </w:t>
            </w:r>
          </w:p>
        </w:tc>
      </w:tr>
      <w:tr w:rsidR="00B21FB3" w:rsidRPr="00983236" w14:paraId="1780AEF8" w14:textId="77777777" w:rsidTr="00A8537A">
        <w:tc>
          <w:tcPr>
            <w:tcW w:w="5529" w:type="dxa"/>
            <w:shd w:val="clear" w:color="auto" w:fill="auto"/>
          </w:tcPr>
          <w:p w14:paraId="374962B5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Formations doctorales</w:t>
            </w:r>
          </w:p>
        </w:tc>
        <w:tc>
          <w:tcPr>
            <w:tcW w:w="3402" w:type="dxa"/>
            <w:shd w:val="clear" w:color="auto" w:fill="auto"/>
          </w:tcPr>
          <w:p w14:paraId="155C7852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5 000 €</w:t>
            </w:r>
          </w:p>
        </w:tc>
      </w:tr>
      <w:tr w:rsidR="00B21FB3" w:rsidRPr="00983236" w14:paraId="6298BB7A" w14:textId="77777777" w:rsidTr="00A8537A">
        <w:tc>
          <w:tcPr>
            <w:tcW w:w="5529" w:type="dxa"/>
            <w:shd w:val="clear" w:color="auto" w:fill="auto"/>
          </w:tcPr>
          <w:p w14:paraId="3EC51704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Aide à la mobilité internationale des doctorants</w:t>
            </w:r>
          </w:p>
        </w:tc>
        <w:tc>
          <w:tcPr>
            <w:tcW w:w="3402" w:type="dxa"/>
            <w:shd w:val="clear" w:color="auto" w:fill="auto"/>
          </w:tcPr>
          <w:p w14:paraId="2A10D3C3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2 500 €</w:t>
            </w:r>
          </w:p>
        </w:tc>
      </w:tr>
      <w:tr w:rsidR="00B21FB3" w:rsidRPr="00983236" w14:paraId="15CA50DE" w14:textId="77777777" w:rsidTr="00A8537A">
        <w:tc>
          <w:tcPr>
            <w:tcW w:w="5529" w:type="dxa"/>
            <w:shd w:val="clear" w:color="auto" w:fill="auto"/>
          </w:tcPr>
          <w:p w14:paraId="185D16C8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Aide à la mobilité nationale des doctorants</w:t>
            </w:r>
          </w:p>
        </w:tc>
        <w:tc>
          <w:tcPr>
            <w:tcW w:w="3402" w:type="dxa"/>
            <w:shd w:val="clear" w:color="auto" w:fill="auto"/>
          </w:tcPr>
          <w:p w14:paraId="463FB9DE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1 000 €</w:t>
            </w:r>
          </w:p>
        </w:tc>
      </w:tr>
      <w:tr w:rsidR="00B21FB3" w:rsidRPr="00983236" w14:paraId="0CF28DF3" w14:textId="77777777" w:rsidTr="00A8537A">
        <w:trPr>
          <w:trHeight w:val="525"/>
        </w:trPr>
        <w:tc>
          <w:tcPr>
            <w:tcW w:w="5529" w:type="dxa"/>
            <w:shd w:val="clear" w:color="auto" w:fill="auto"/>
          </w:tcPr>
          <w:p w14:paraId="0D8D189D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Soutien aux initiatives des doctorants (colloques, associations, </w:t>
            </w:r>
            <w:proofErr w:type="spellStart"/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etc</w:t>
            </w:r>
            <w:proofErr w:type="spellEnd"/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8F5E8D8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1 500 €</w:t>
            </w:r>
          </w:p>
        </w:tc>
      </w:tr>
      <w:tr w:rsidR="00B21FB3" w:rsidRPr="00983236" w14:paraId="46CBE3F0" w14:textId="77777777" w:rsidTr="00A8537A">
        <w:trPr>
          <w:trHeight w:val="210"/>
        </w:trPr>
        <w:tc>
          <w:tcPr>
            <w:tcW w:w="5529" w:type="dxa"/>
            <w:shd w:val="clear" w:color="auto" w:fill="auto"/>
          </w:tcPr>
          <w:p w14:paraId="503C50E8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Master Class </w:t>
            </w:r>
          </w:p>
        </w:tc>
        <w:tc>
          <w:tcPr>
            <w:tcW w:w="3402" w:type="dxa"/>
            <w:shd w:val="clear" w:color="auto" w:fill="auto"/>
          </w:tcPr>
          <w:p w14:paraId="34F8C5E0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5 000 €</w:t>
            </w:r>
          </w:p>
        </w:tc>
      </w:tr>
      <w:tr w:rsidR="00B21FB3" w:rsidRPr="00983236" w14:paraId="5DF39EFA" w14:textId="77777777" w:rsidTr="00A8537A">
        <w:tc>
          <w:tcPr>
            <w:tcW w:w="5529" w:type="dxa"/>
            <w:shd w:val="clear" w:color="auto" w:fill="auto"/>
          </w:tcPr>
          <w:p w14:paraId="16F4458F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Conseils, réunions</w:t>
            </w:r>
          </w:p>
        </w:tc>
        <w:tc>
          <w:tcPr>
            <w:tcW w:w="3402" w:type="dxa"/>
            <w:shd w:val="clear" w:color="auto" w:fill="auto"/>
          </w:tcPr>
          <w:p w14:paraId="341D2A7C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537 </w:t>
            </w: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€</w:t>
            </w:r>
          </w:p>
        </w:tc>
      </w:tr>
      <w:tr w:rsidR="00B21FB3" w:rsidRPr="00983236" w14:paraId="68FB2792" w14:textId="77777777" w:rsidTr="00A8537A">
        <w:tc>
          <w:tcPr>
            <w:tcW w:w="5529" w:type="dxa"/>
            <w:shd w:val="clear" w:color="auto" w:fill="auto"/>
          </w:tcPr>
          <w:p w14:paraId="6626C50B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Rentrée des doctorants</w:t>
            </w:r>
          </w:p>
        </w:tc>
        <w:tc>
          <w:tcPr>
            <w:tcW w:w="3402" w:type="dxa"/>
            <w:shd w:val="clear" w:color="auto" w:fill="auto"/>
          </w:tcPr>
          <w:p w14:paraId="78622A3C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300 €</w:t>
            </w:r>
          </w:p>
        </w:tc>
      </w:tr>
      <w:tr w:rsidR="00B21FB3" w:rsidRPr="00983236" w14:paraId="282DC364" w14:textId="77777777" w:rsidTr="00A8537A">
        <w:tc>
          <w:tcPr>
            <w:tcW w:w="5529" w:type="dxa"/>
            <w:shd w:val="clear" w:color="auto" w:fill="auto"/>
          </w:tcPr>
          <w:p w14:paraId="0629FBE9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Equipement, fournitures, fonctionnement</w:t>
            </w:r>
          </w:p>
        </w:tc>
        <w:tc>
          <w:tcPr>
            <w:tcW w:w="3402" w:type="dxa"/>
            <w:shd w:val="clear" w:color="auto" w:fill="auto"/>
          </w:tcPr>
          <w:p w14:paraId="13B1D464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bCs/>
                <w:sz w:val="22"/>
                <w:szCs w:val="22"/>
              </w:rPr>
              <w:t>400 €</w:t>
            </w:r>
          </w:p>
        </w:tc>
      </w:tr>
      <w:tr w:rsidR="00B21FB3" w:rsidRPr="00983236" w14:paraId="5C55D8DF" w14:textId="77777777" w:rsidTr="00A8537A">
        <w:tc>
          <w:tcPr>
            <w:tcW w:w="5529" w:type="dxa"/>
            <w:shd w:val="clear" w:color="auto" w:fill="9CC2E5"/>
          </w:tcPr>
          <w:p w14:paraId="7EAD9C9B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3402" w:type="dxa"/>
            <w:shd w:val="clear" w:color="auto" w:fill="9CC2E5"/>
          </w:tcPr>
          <w:p w14:paraId="655DD8DF" w14:textId="77777777" w:rsidR="00B21FB3" w:rsidRPr="00983236" w:rsidRDefault="00B21FB3" w:rsidP="00A8537A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3236">
              <w:rPr>
                <w:rFonts w:ascii="Times New Roman" w:hAnsi="Times New Roman" w:cs="Times New Roman"/>
                <w:sz w:val="22"/>
                <w:szCs w:val="22"/>
              </w:rPr>
              <w:t>16 237 €</w:t>
            </w:r>
          </w:p>
        </w:tc>
      </w:tr>
    </w:tbl>
    <w:p w14:paraId="646DD87F" w14:textId="77777777" w:rsidR="00B21FB3" w:rsidRPr="00983236" w:rsidRDefault="00B21FB3" w:rsidP="00B21FB3">
      <w:pPr>
        <w:rPr>
          <w:rFonts w:ascii="Times New Roman" w:hAnsi="Times New Roman" w:cs="Times New Roman"/>
        </w:rPr>
      </w:pPr>
    </w:p>
    <w:p w14:paraId="573507D9" w14:textId="4C383EB6" w:rsidR="006D0F2D" w:rsidRPr="00983236" w:rsidRDefault="00CC2BB4" w:rsidP="0086406A">
      <w:pPr>
        <w:pStyle w:val="Paragraphedeliste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Le budget prévisionnel est adopté à l’unanimité</w:t>
      </w:r>
    </w:p>
    <w:p w14:paraId="16C02404" w14:textId="6432760F" w:rsidR="006D0F2D" w:rsidRPr="00983236" w:rsidRDefault="006D0F2D" w:rsidP="0086406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E7F7A9" w14:textId="77777777" w:rsidR="006D0F2D" w:rsidRPr="00983236" w:rsidRDefault="006D0F2D" w:rsidP="0086406A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F65EDE" w14:textId="77777777" w:rsidR="0003749D" w:rsidRPr="00983236" w:rsidRDefault="0003749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</w:p>
    <w:p w14:paraId="73BDDD9B" w14:textId="67564733" w:rsidR="0086406A" w:rsidRPr="00983236" w:rsidRDefault="0086406A" w:rsidP="0086406A">
      <w:pPr>
        <w:pStyle w:val="Paragraphedeliste"/>
        <w:spacing w:before="240" w:after="16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3. Bilan de l’attribution de soutiens financiers aux doctorants</w:t>
      </w:r>
    </w:p>
    <w:p w14:paraId="55EB7EB7" w14:textId="25CDB023" w:rsidR="0086406A" w:rsidRPr="00983236" w:rsidRDefault="0086406A" w:rsidP="0086406A">
      <w:pPr>
        <w:pStyle w:val="Paragraphedeliste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tbl>
      <w:tblPr>
        <w:tblW w:w="95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400"/>
        <w:gridCol w:w="1200"/>
        <w:gridCol w:w="1200"/>
        <w:gridCol w:w="2320"/>
        <w:gridCol w:w="1200"/>
      </w:tblGrid>
      <w:tr w:rsidR="00B87FB0" w:rsidRPr="00983236" w14:paraId="33FAB6D3" w14:textId="77777777" w:rsidTr="00B87FB0">
        <w:trPr>
          <w:trHeight w:val="91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314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NOM Prénom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EFA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Etablissement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7845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Laboratoire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BE6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Subvention labo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CA190" w14:textId="07A6DE38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Commentaire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EEBDF7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Subvention ED attribuée</w:t>
            </w:r>
          </w:p>
        </w:tc>
      </w:tr>
      <w:tr w:rsidR="00B87FB0" w:rsidRPr="00983236" w14:paraId="66880803" w14:textId="77777777" w:rsidTr="00B87FB0">
        <w:trPr>
          <w:trHeight w:val="78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8D80" w14:textId="77777777" w:rsidR="00B87FB0" w:rsidRPr="00983236" w:rsidRDefault="00B87FB0" w:rsidP="00B87F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 xml:space="preserve">GHANNAD </w:t>
            </w:r>
            <w:proofErr w:type="spellStart"/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Alireza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40F7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18ED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CDMO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03BA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400,0 €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94A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771472E1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400 €</w:t>
            </w:r>
          </w:p>
        </w:tc>
      </w:tr>
      <w:tr w:rsidR="00B87FB0" w:rsidRPr="00983236" w14:paraId="3B891197" w14:textId="77777777" w:rsidTr="00B87FB0">
        <w:trPr>
          <w:trHeight w:val="915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90C" w14:textId="77777777" w:rsidR="00B87FB0" w:rsidRPr="00983236" w:rsidRDefault="00B87FB0" w:rsidP="00B87F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HAMIDOU   Said 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E1CC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NU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10A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CDMO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35FB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0,00 €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702" w14:textId="77777777" w:rsidR="00B87FB0" w:rsidRPr="00983236" w:rsidRDefault="00B87FB0" w:rsidP="00B87F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Demande irrecevable, aucune signature, aucun avis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747760F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0 €</w:t>
            </w:r>
          </w:p>
        </w:tc>
      </w:tr>
      <w:tr w:rsidR="00B87FB0" w:rsidRPr="00983236" w14:paraId="69FD445B" w14:textId="77777777" w:rsidTr="00B87FB0">
        <w:trPr>
          <w:trHeight w:val="31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962A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18799" w14:textId="77777777" w:rsidR="00B87FB0" w:rsidRPr="00983236" w:rsidRDefault="00B87FB0" w:rsidP="00B87FB0">
            <w:pPr>
              <w:spacing w:after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BD737" w14:textId="77777777" w:rsidR="00B87FB0" w:rsidRPr="00983236" w:rsidRDefault="00B87FB0" w:rsidP="00B87FB0">
            <w:pPr>
              <w:spacing w:after="0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C42A1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14:paraId="3344F8AD" w14:textId="77777777" w:rsidR="00B87FB0" w:rsidRPr="00983236" w:rsidRDefault="00B87FB0" w:rsidP="00B87FB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 xml:space="preserve">TOTAL :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7804C4C2" w14:textId="77777777" w:rsidR="00B87FB0" w:rsidRPr="00983236" w:rsidRDefault="00B87FB0" w:rsidP="00B87F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</w:pPr>
            <w:r w:rsidRPr="009832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fr-FR"/>
              </w:rPr>
              <w:t>400 €</w:t>
            </w:r>
          </w:p>
        </w:tc>
      </w:tr>
    </w:tbl>
    <w:p w14:paraId="551D6981" w14:textId="091CE370" w:rsidR="006D0F2D" w:rsidRPr="00983236" w:rsidRDefault="006D0F2D" w:rsidP="0086406A">
      <w:pPr>
        <w:pStyle w:val="Paragraphedeliste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1DDE96DA" w14:textId="77777777" w:rsidR="006D0F2D" w:rsidRPr="00983236" w:rsidRDefault="006D0F2D" w:rsidP="0086406A">
      <w:pPr>
        <w:pStyle w:val="Paragraphedeliste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4669129D" w14:textId="31B781FE" w:rsidR="0086406A" w:rsidRPr="00983236" w:rsidRDefault="0086406A" w:rsidP="0086406A">
      <w:pPr>
        <w:pStyle w:val="Paragraphedeliste"/>
        <w:spacing w:before="240" w:after="16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4. Avancée du projet de Master-Class </w:t>
      </w:r>
    </w:p>
    <w:p w14:paraId="5FBB5D2B" w14:textId="2E05D711" w:rsidR="00937030" w:rsidRPr="00983236" w:rsidRDefault="00937030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Ce</w:t>
      </w:r>
      <w:r w:rsidR="00A7560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projet aura lieu aux Sables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-</w:t>
      </w:r>
      <w:r w:rsidR="00A7560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d’Olonne, du 12 au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A7560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14 juin 2024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, à </w:t>
      </w:r>
      <w:r w:rsidR="00B85F50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destination des doctorants </w:t>
      </w:r>
      <w:proofErr w:type="spellStart"/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</w:t>
      </w:r>
      <w:proofErr w:type="spellEnd"/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école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doctorale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B85F50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DSP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Pays-de-la-Loire et Bretagne. </w:t>
      </w:r>
      <w:r w:rsidR="0095336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</w:p>
    <w:p w14:paraId="47FBEC99" w14:textId="1CBE21D6" w:rsidR="0086406A" w:rsidRPr="00983236" w:rsidRDefault="0095336A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Le</w:t>
      </w:r>
      <w:r w:rsidR="00C85727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 inscriptions auront lieu en mars</w:t>
      </w:r>
      <w:r w:rsidR="00937030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-avril</w:t>
      </w:r>
      <w:r w:rsidR="00C85727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, le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nombre de places sera limité.</w:t>
      </w:r>
    </w:p>
    <w:p w14:paraId="72CD6C7C" w14:textId="150850CD" w:rsidR="00482ABE" w:rsidRPr="00983236" w:rsidRDefault="00482ABE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Au programme, des conférences 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réalisées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par des enseignants chercheurs, par des professionnels du droit pour expliquer les débouchés du doctorat, les aspects de méthodologie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Des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ateliers 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seront aussi mis en place pour que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les doctorants 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puissent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présenter leurs travaux </w:t>
      </w:r>
    </w:p>
    <w:p w14:paraId="08CC4E09" w14:textId="31187687" w:rsidR="00482ABE" w:rsidRPr="00983236" w:rsidRDefault="00E5579A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En partenariat avec la ville des Sables-d’Olonne, un a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telier de culture scientifique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sera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ouvert au public au cours duquel les doctorants ser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o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nt amenés à présenter leurs travaux de façon moins académique, plus ludique.</w:t>
      </w:r>
    </w:p>
    <w:p w14:paraId="4D46345B" w14:textId="1F51C9EB" w:rsidR="00CD3BD4" w:rsidRPr="00983236" w:rsidRDefault="00E5579A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Il sera aussi présenté un r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etour d’expériences de doctorants qui ont pu bénéficier d’une mobilité nationale ou internationale.</w:t>
      </w:r>
    </w:p>
    <w:p w14:paraId="7F6C7C4A" w14:textId="43A7ECA7" w:rsidR="00EA2A48" w:rsidRPr="00983236" w:rsidRDefault="00EA2A48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Un atelier d’écriture est aussi en réflexion</w:t>
      </w:r>
      <w:r w:rsidR="00E5579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14:paraId="586B88AD" w14:textId="47E5B156" w:rsidR="00CD3BD4" w:rsidRPr="00983236" w:rsidRDefault="00E5579A" w:rsidP="00715578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Des a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ctivités extra-universitaire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, 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telles que 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surf</w:t>
      </w:r>
      <w:r w:rsidR="00F7099B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ou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paddle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et intermèdes musicaux (sollicitation de 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L’orchestre symphonique Universitaire de Nantes)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seront aussi proposées.</w:t>
      </w:r>
    </w:p>
    <w:p w14:paraId="77B28485" w14:textId="77777777" w:rsidR="00D707DA" w:rsidRPr="00983236" w:rsidRDefault="00D707DA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Deux autres événements universitaires auront lieu aux Sables d’Olonne dans les mêmes temps.</w:t>
      </w:r>
    </w:p>
    <w:p w14:paraId="1692E884" w14:textId="09B40173" w:rsidR="00D707DA" w:rsidRPr="00983236" w:rsidRDefault="00D707DA" w:rsidP="00715578">
      <w:pPr>
        <w:pStyle w:val="Paragraphedeliste"/>
        <w:numPr>
          <w:ilvl w:val="0"/>
          <w:numId w:val="8"/>
        </w:numPr>
        <w:tabs>
          <w:tab w:val="left" w:pos="284"/>
        </w:tabs>
        <w:spacing w:before="240" w:line="276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Les ateliers doctoraux, mis en place par Alina 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Miron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où les doctorants présentent leurs travaux spécialisés en droit de la m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er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14:paraId="1CEECFB8" w14:textId="77777777" w:rsidR="00D707DA" w:rsidRPr="00983236" w:rsidRDefault="00D707DA" w:rsidP="00BE0D93">
      <w:pPr>
        <w:pStyle w:val="Paragraphedeliste"/>
        <w:numPr>
          <w:ilvl w:val="0"/>
          <w:numId w:val="8"/>
        </w:numPr>
        <w:tabs>
          <w:tab w:val="left" w:pos="284"/>
        </w:tabs>
        <w:spacing w:before="240" w:line="276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Une journée d’étude sur « la vague et le droit ». </w:t>
      </w:r>
    </w:p>
    <w:p w14:paraId="2326AE8F" w14:textId="4258F041" w:rsidR="00482ABE" w:rsidRPr="00983236" w:rsidRDefault="00D707DA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Il 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serait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donc bien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de concentrer les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événements</w:t>
      </w:r>
      <w:r w:rsidR="00482ABE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sur une semaine avec des budgets autonomes. </w:t>
      </w:r>
    </w:p>
    <w:p w14:paraId="667F91B3" w14:textId="5646D6FF" w:rsidR="00482ABE" w:rsidRPr="00983236" w:rsidRDefault="00482ABE" w:rsidP="00BE0D93">
      <w:pPr>
        <w:pStyle w:val="Paragraphedeliste"/>
        <w:spacing w:before="240" w:line="276" w:lineRule="auto"/>
        <w:ind w:left="709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D’un point de vue logistique, c’est l’école doctorale qui prendra en charge les frais liés au logement et aux repas.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Un dossier de demande d’aide financière a été réalisée auprès du collège doctoral</w:t>
      </w:r>
      <w:r w:rsidR="00D707D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, l</w:t>
      </w:r>
      <w:r w:rsidR="00CD3BD4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a réponse sera connue fin décembre.</w:t>
      </w:r>
    </w:p>
    <w:p w14:paraId="71E2D336" w14:textId="77777777" w:rsidR="006D0F2D" w:rsidRPr="00983236" w:rsidRDefault="006D0F2D" w:rsidP="00BE0D93">
      <w:pPr>
        <w:pStyle w:val="Paragraphedeliste"/>
        <w:spacing w:before="240" w:line="276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68E0E69C" w14:textId="16FBF013" w:rsidR="006D0F2D" w:rsidRPr="00983236" w:rsidRDefault="006D0F2D" w:rsidP="00BE0D93">
      <w:pPr>
        <w:pStyle w:val="Paragraphedeliste"/>
        <w:spacing w:before="240" w:line="276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0AAB4735" w14:textId="77777777" w:rsidR="00C33C83" w:rsidRPr="00983236" w:rsidRDefault="00C33C83" w:rsidP="00BE0D93">
      <w:pPr>
        <w:pStyle w:val="Paragraphedeliste"/>
        <w:spacing w:after="0"/>
        <w:ind w:left="0"/>
        <w:jc w:val="both"/>
        <w:rPr>
          <w:rFonts w:ascii="Times New Roman" w:eastAsia="Times New Roman" w:hAnsi="Times New Roman" w:cs="Times New Roman"/>
          <w:b/>
          <w:iCs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iCs/>
          <w:sz w:val="22"/>
          <w:szCs w:val="22"/>
          <w:lang w:eastAsia="fr-FR"/>
        </w:rPr>
        <w:t>4bis. Ajout d’un point à l’ordre du jour, les formations</w:t>
      </w:r>
    </w:p>
    <w:p w14:paraId="67D781DC" w14:textId="77777777" w:rsidR="00C33C83" w:rsidRPr="00983236" w:rsidRDefault="00C33C83" w:rsidP="00BE0D93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  <w:t>Etant donné l’arrêt de la gestionnaire de l’école doctorale, la mise en place du catalogue de formations à pris du retard. Il est actuellement en construction.</w:t>
      </w:r>
    </w:p>
    <w:p w14:paraId="5A35D6FA" w14:textId="5E8518FF" w:rsidR="006D0F2D" w:rsidRPr="00983236" w:rsidRDefault="006D0F2D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331CE938" w14:textId="772BE979" w:rsidR="006D0F2D" w:rsidRPr="00983236" w:rsidRDefault="006D0F2D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6AA8C8E1" w14:textId="77777777" w:rsidR="006D0F2D" w:rsidRPr="00983236" w:rsidRDefault="006D0F2D" w:rsidP="0086406A">
      <w:pPr>
        <w:pStyle w:val="Paragraphedeliste"/>
        <w:spacing w:before="240" w:line="276" w:lineRule="auto"/>
        <w:ind w:left="0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504F3601" w14:textId="77777777" w:rsidR="00906211" w:rsidRPr="00983236" w:rsidRDefault="0090621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</w:p>
    <w:p w14:paraId="26B08213" w14:textId="75AEDC88" w:rsidR="0086406A" w:rsidRPr="00983236" w:rsidRDefault="0086406A" w:rsidP="0086406A">
      <w:pPr>
        <w:pStyle w:val="Paragraphedeliste"/>
        <w:spacing w:before="240" w:after="160"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5. Vie des sites </w:t>
      </w:r>
    </w:p>
    <w:p w14:paraId="59BC8F15" w14:textId="49776345" w:rsidR="00AA6A42" w:rsidRPr="00983236" w:rsidRDefault="00AD1381" w:rsidP="00525D7A">
      <w:pPr>
        <w:pStyle w:val="Paragraphedeliste"/>
        <w:spacing w:before="240" w:after="160" w:line="276" w:lineRule="auto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Sur le site du Mans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, la réunion de rentrée a eu lieu fin novembre.</w:t>
      </w:r>
    </w:p>
    <w:p w14:paraId="5C050D74" w14:textId="48160C25" w:rsidR="00AD1381" w:rsidRPr="00983236" w:rsidRDefault="00AD1381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La première soutenance de thèse à Laval a eu lieu fin décembre.</w:t>
      </w:r>
    </w:p>
    <w:p w14:paraId="186D434C" w14:textId="29BC79B2" w:rsidR="00AD1381" w:rsidRPr="00983236" w:rsidRDefault="00AD1381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Après discussion, le conseil de l’école doctorale émet un avis défavorable à </w:t>
      </w:r>
      <w:r w:rsidR="00983236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une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demande d’inscription</w:t>
      </w:r>
      <w:r w:rsidR="00525D7A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83236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au vu des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éléments du dossier en </w:t>
      </w:r>
      <w:r w:rsidR="00715578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sa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possession et aux échanges avec la directrice de thèse pressentie.</w:t>
      </w:r>
    </w:p>
    <w:p w14:paraId="497BCB2F" w14:textId="77777777" w:rsidR="006D0F2D" w:rsidRPr="00983236" w:rsidRDefault="006D0F2D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7C52744A" w14:textId="10DCCEB2" w:rsidR="006D0F2D" w:rsidRPr="00983236" w:rsidRDefault="00AA6A42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Sur le site d’Angers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, la réunion de rentrée a eu lieu début décembre.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br/>
        <w:t>5 thèses ont été soutenues.</w:t>
      </w:r>
    </w:p>
    <w:p w14:paraId="01F241AF" w14:textId="45CE80D5" w:rsidR="00AD1381" w:rsidRPr="00983236" w:rsidRDefault="00AD1381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6C69F4AF" w14:textId="28E0F62B" w:rsidR="00AD1381" w:rsidRPr="00983236" w:rsidRDefault="00AD1381" w:rsidP="00715578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Sur le site de Nantes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, la réunion de rentrée a eu lieu début novembre avec la présence de quatre doctorants seulement.</w:t>
      </w:r>
    </w:p>
    <w:p w14:paraId="02F2AE8A" w14:textId="77777777" w:rsidR="00715578" w:rsidRPr="00983236" w:rsidRDefault="00715578" w:rsidP="00715578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2C2CCFF6" w14:textId="261B056C" w:rsidR="00AD1381" w:rsidRPr="00983236" w:rsidRDefault="00AD1381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Il est proposé d’inviter les encadrants aux prochaines réunions de rentrée</w:t>
      </w:r>
      <w:r w:rsidR="00EF66E1"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mais uniquement sur un temps précis pour laisser la liberté aux doctorants de parler librement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14:paraId="5949CD4E" w14:textId="7F5604BF" w:rsidR="00AA6A42" w:rsidRPr="00983236" w:rsidRDefault="00AA6A42" w:rsidP="00BE0D93">
      <w:pPr>
        <w:pStyle w:val="Paragraphedeliste"/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2201044E" w14:textId="77777777" w:rsidR="00AA6A42" w:rsidRPr="00983236" w:rsidRDefault="00AA6A42" w:rsidP="0086406A">
      <w:pPr>
        <w:pStyle w:val="Paragraphedeliste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24F28910" w14:textId="188150F3" w:rsidR="0086406A" w:rsidRPr="00983236" w:rsidRDefault="0086406A" w:rsidP="0086406A">
      <w:pPr>
        <w:pStyle w:val="Paragraphedeliste"/>
        <w:tabs>
          <w:tab w:val="left" w:pos="709"/>
        </w:tabs>
        <w:spacing w:before="240" w:after="160" w:line="276" w:lineRule="auto"/>
        <w:ind w:left="0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83236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6. Questions diverses – </w:t>
      </w:r>
      <w:r w:rsidRPr="00983236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br/>
        <w:t xml:space="preserve">           </w:t>
      </w:r>
      <w:r w:rsidRPr="00983236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Date du prochain Conseil d’ED : 4 avril 2024 – 9h30-12h30 </w:t>
      </w:r>
    </w:p>
    <w:p w14:paraId="0780E962" w14:textId="02442FDA" w:rsidR="0086406A" w:rsidRPr="00983236" w:rsidRDefault="0086406A" w:rsidP="0086406A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</w:p>
    <w:p w14:paraId="1C3B8F06" w14:textId="77777777" w:rsidR="006D0F2D" w:rsidRPr="00983236" w:rsidRDefault="006D0F2D" w:rsidP="0086406A">
      <w:pPr>
        <w:pStyle w:val="Paragraphedeliste"/>
        <w:spacing w:after="0"/>
        <w:jc w:val="both"/>
        <w:rPr>
          <w:rFonts w:ascii="Times New Roman" w:eastAsia="Times New Roman" w:hAnsi="Times New Roman" w:cs="Times New Roman"/>
          <w:iCs/>
          <w:sz w:val="22"/>
          <w:szCs w:val="22"/>
          <w:lang w:eastAsia="fr-FR"/>
        </w:rPr>
      </w:pPr>
    </w:p>
    <w:p w14:paraId="07E39E60" w14:textId="77777777" w:rsidR="00C75D7E" w:rsidRPr="00983236" w:rsidRDefault="00C75D7E" w:rsidP="00C75D7E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23F7216" w14:textId="77777777" w:rsidR="008108FD" w:rsidRPr="00983236" w:rsidRDefault="008108FD" w:rsidP="00C75D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088C16" w14:textId="33245CCD" w:rsidR="00AF51F1" w:rsidRPr="00983236" w:rsidRDefault="00AA5350" w:rsidP="00C75D7E">
      <w:pPr>
        <w:spacing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3236">
        <w:rPr>
          <w:rFonts w:ascii="Times New Roman" w:hAnsi="Times New Roman" w:cs="Times New Roman"/>
          <w:b/>
          <w:i/>
          <w:sz w:val="24"/>
          <w:szCs w:val="24"/>
        </w:rPr>
        <w:t xml:space="preserve">Fin de la séance : </w:t>
      </w:r>
      <w:r w:rsidR="005F22CC" w:rsidRPr="00983236">
        <w:rPr>
          <w:rFonts w:ascii="Times New Roman" w:hAnsi="Times New Roman" w:cs="Times New Roman"/>
          <w:b/>
          <w:i/>
          <w:sz w:val="24"/>
          <w:szCs w:val="24"/>
        </w:rPr>
        <w:t>12h</w:t>
      </w:r>
      <w:r w:rsidR="00906211" w:rsidRPr="0098323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5F22CC" w:rsidRPr="00983236">
        <w:rPr>
          <w:rFonts w:ascii="Times New Roman" w:hAnsi="Times New Roman" w:cs="Times New Roman"/>
          <w:b/>
          <w:i/>
          <w:sz w:val="24"/>
          <w:szCs w:val="24"/>
        </w:rPr>
        <w:t>0</w:t>
      </w:r>
    </w:p>
    <w:sectPr w:rsidR="00AF51F1" w:rsidRPr="009832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407F2" w14:textId="77777777" w:rsidR="00412D53" w:rsidRDefault="00412D53" w:rsidP="00AF51F1">
      <w:pPr>
        <w:spacing w:after="0"/>
      </w:pPr>
      <w:r>
        <w:separator/>
      </w:r>
    </w:p>
  </w:endnote>
  <w:endnote w:type="continuationSeparator" w:id="0">
    <w:p w14:paraId="134DBB54" w14:textId="77777777" w:rsidR="00412D53" w:rsidRDefault="00412D53" w:rsidP="00AF51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DAC7" w14:textId="77777777" w:rsidR="00412D53" w:rsidRDefault="00412D53" w:rsidP="00AF51F1">
      <w:pPr>
        <w:spacing w:after="0"/>
      </w:pPr>
      <w:r>
        <w:separator/>
      </w:r>
    </w:p>
  </w:footnote>
  <w:footnote w:type="continuationSeparator" w:id="0">
    <w:p w14:paraId="4251A4E3" w14:textId="77777777" w:rsidR="00412D53" w:rsidRDefault="00412D53" w:rsidP="00AF5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DE59" w14:textId="77777777" w:rsidR="006D746F" w:rsidRDefault="006D746F">
    <w:pPr>
      <w:pStyle w:val="En-tte"/>
    </w:pPr>
    <w:r>
      <w:rPr>
        <w:noProof/>
      </w:rPr>
      <w:drawing>
        <wp:inline distT="0" distB="0" distL="0" distR="0" wp14:anchorId="0A5D983D" wp14:editId="43A613FB">
          <wp:extent cx="1704904" cy="48768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oit et science politique-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267" cy="49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6F2D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2EE"/>
    <w:multiLevelType w:val="hybridMultilevel"/>
    <w:tmpl w:val="64CEC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6E78"/>
    <w:multiLevelType w:val="hybridMultilevel"/>
    <w:tmpl w:val="27D0A58A"/>
    <w:lvl w:ilvl="0" w:tplc="87CAECBA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79956DA"/>
    <w:multiLevelType w:val="hybridMultilevel"/>
    <w:tmpl w:val="45EE10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31BD2"/>
    <w:multiLevelType w:val="hybridMultilevel"/>
    <w:tmpl w:val="6C64D860"/>
    <w:lvl w:ilvl="0" w:tplc="FAAC408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7F77"/>
    <w:multiLevelType w:val="hybridMultilevel"/>
    <w:tmpl w:val="A10AA674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0958"/>
    <w:multiLevelType w:val="hybridMultilevel"/>
    <w:tmpl w:val="892E39E0"/>
    <w:lvl w:ilvl="0" w:tplc="9ECEB36C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C0019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3AA04C7"/>
    <w:multiLevelType w:val="hybridMultilevel"/>
    <w:tmpl w:val="C910EC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18511935">
    <w:abstractNumId w:val="5"/>
  </w:num>
  <w:num w:numId="2" w16cid:durableId="768425587">
    <w:abstractNumId w:val="0"/>
  </w:num>
  <w:num w:numId="3" w16cid:durableId="1571037032">
    <w:abstractNumId w:val="6"/>
  </w:num>
  <w:num w:numId="4" w16cid:durableId="1826046528">
    <w:abstractNumId w:val="2"/>
  </w:num>
  <w:num w:numId="5" w16cid:durableId="443235981">
    <w:abstractNumId w:val="1"/>
  </w:num>
  <w:num w:numId="6" w16cid:durableId="995303892">
    <w:abstractNumId w:val="3"/>
  </w:num>
  <w:num w:numId="7" w16cid:durableId="1767537390">
    <w:abstractNumId w:val="7"/>
  </w:num>
  <w:num w:numId="8" w16cid:durableId="193917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F1"/>
    <w:rsid w:val="00030A96"/>
    <w:rsid w:val="00031EF3"/>
    <w:rsid w:val="0003474E"/>
    <w:rsid w:val="0003749D"/>
    <w:rsid w:val="00037E1E"/>
    <w:rsid w:val="00043656"/>
    <w:rsid w:val="000703D2"/>
    <w:rsid w:val="00090AB1"/>
    <w:rsid w:val="000965FB"/>
    <w:rsid w:val="000A275D"/>
    <w:rsid w:val="000C34FF"/>
    <w:rsid w:val="000C521B"/>
    <w:rsid w:val="000D361E"/>
    <w:rsid w:val="000D4317"/>
    <w:rsid w:val="000F15E5"/>
    <w:rsid w:val="000F2F85"/>
    <w:rsid w:val="000F6840"/>
    <w:rsid w:val="000F6FBB"/>
    <w:rsid w:val="00112EAE"/>
    <w:rsid w:val="00136A81"/>
    <w:rsid w:val="00137F17"/>
    <w:rsid w:val="00142336"/>
    <w:rsid w:val="00151839"/>
    <w:rsid w:val="0015381A"/>
    <w:rsid w:val="00160E54"/>
    <w:rsid w:val="00164AB5"/>
    <w:rsid w:val="001A01F4"/>
    <w:rsid w:val="001A554D"/>
    <w:rsid w:val="001C0709"/>
    <w:rsid w:val="001C1A38"/>
    <w:rsid w:val="001C62CB"/>
    <w:rsid w:val="001C7012"/>
    <w:rsid w:val="001C74B9"/>
    <w:rsid w:val="001E30FB"/>
    <w:rsid w:val="001E582E"/>
    <w:rsid w:val="00201D13"/>
    <w:rsid w:val="00204635"/>
    <w:rsid w:val="00231AA8"/>
    <w:rsid w:val="002422BF"/>
    <w:rsid w:val="00244CD6"/>
    <w:rsid w:val="00245EC9"/>
    <w:rsid w:val="002612BC"/>
    <w:rsid w:val="00267D89"/>
    <w:rsid w:val="00274BEA"/>
    <w:rsid w:val="002853F9"/>
    <w:rsid w:val="002922B2"/>
    <w:rsid w:val="00296234"/>
    <w:rsid w:val="002A7E50"/>
    <w:rsid w:val="002C2D1F"/>
    <w:rsid w:val="002C62D5"/>
    <w:rsid w:val="002D1664"/>
    <w:rsid w:val="002E309C"/>
    <w:rsid w:val="002E624B"/>
    <w:rsid w:val="00300537"/>
    <w:rsid w:val="00316BD1"/>
    <w:rsid w:val="00326B59"/>
    <w:rsid w:val="0034475B"/>
    <w:rsid w:val="0035448E"/>
    <w:rsid w:val="00360F11"/>
    <w:rsid w:val="00362214"/>
    <w:rsid w:val="00362867"/>
    <w:rsid w:val="00373B43"/>
    <w:rsid w:val="00385BC8"/>
    <w:rsid w:val="003877EC"/>
    <w:rsid w:val="00395601"/>
    <w:rsid w:val="0039675F"/>
    <w:rsid w:val="003A6D6A"/>
    <w:rsid w:val="003D79BA"/>
    <w:rsid w:val="003E71F1"/>
    <w:rsid w:val="00402346"/>
    <w:rsid w:val="00412D53"/>
    <w:rsid w:val="00412D97"/>
    <w:rsid w:val="00413235"/>
    <w:rsid w:val="00423FE9"/>
    <w:rsid w:val="0044773C"/>
    <w:rsid w:val="00454B16"/>
    <w:rsid w:val="0046102B"/>
    <w:rsid w:val="004737C6"/>
    <w:rsid w:val="0048007F"/>
    <w:rsid w:val="00482ABE"/>
    <w:rsid w:val="004872B4"/>
    <w:rsid w:val="004916D7"/>
    <w:rsid w:val="004A692B"/>
    <w:rsid w:val="004B4FF5"/>
    <w:rsid w:val="004B7FC7"/>
    <w:rsid w:val="004C6978"/>
    <w:rsid w:val="004D0226"/>
    <w:rsid w:val="004D6079"/>
    <w:rsid w:val="004F1F4A"/>
    <w:rsid w:val="00522EC7"/>
    <w:rsid w:val="0052468C"/>
    <w:rsid w:val="00525D7A"/>
    <w:rsid w:val="0053094F"/>
    <w:rsid w:val="005401A6"/>
    <w:rsid w:val="00560029"/>
    <w:rsid w:val="0057467C"/>
    <w:rsid w:val="00580955"/>
    <w:rsid w:val="005C4B02"/>
    <w:rsid w:val="005D1780"/>
    <w:rsid w:val="005D5239"/>
    <w:rsid w:val="005E16F2"/>
    <w:rsid w:val="005E7177"/>
    <w:rsid w:val="005F2193"/>
    <w:rsid w:val="005F22CC"/>
    <w:rsid w:val="00600EBC"/>
    <w:rsid w:val="00612D1E"/>
    <w:rsid w:val="0062007F"/>
    <w:rsid w:val="00655598"/>
    <w:rsid w:val="00661356"/>
    <w:rsid w:val="006644CA"/>
    <w:rsid w:val="0067039F"/>
    <w:rsid w:val="00670830"/>
    <w:rsid w:val="006821AC"/>
    <w:rsid w:val="0069034A"/>
    <w:rsid w:val="0069082D"/>
    <w:rsid w:val="00690B86"/>
    <w:rsid w:val="006977E4"/>
    <w:rsid w:val="006B2617"/>
    <w:rsid w:val="006C0D62"/>
    <w:rsid w:val="006C6679"/>
    <w:rsid w:val="006D0A85"/>
    <w:rsid w:val="006D0F2D"/>
    <w:rsid w:val="006D746F"/>
    <w:rsid w:val="006F4862"/>
    <w:rsid w:val="006F6E1D"/>
    <w:rsid w:val="00715578"/>
    <w:rsid w:val="00742215"/>
    <w:rsid w:val="00746B3A"/>
    <w:rsid w:val="00752058"/>
    <w:rsid w:val="00752800"/>
    <w:rsid w:val="007627A6"/>
    <w:rsid w:val="00764F47"/>
    <w:rsid w:val="0078422A"/>
    <w:rsid w:val="00796EAC"/>
    <w:rsid w:val="007A7460"/>
    <w:rsid w:val="007D4BDB"/>
    <w:rsid w:val="007F4A9F"/>
    <w:rsid w:val="007F6A80"/>
    <w:rsid w:val="008108FD"/>
    <w:rsid w:val="00817D07"/>
    <w:rsid w:val="00820C20"/>
    <w:rsid w:val="008439B2"/>
    <w:rsid w:val="008458E6"/>
    <w:rsid w:val="0086406A"/>
    <w:rsid w:val="008725A1"/>
    <w:rsid w:val="00881A72"/>
    <w:rsid w:val="008857BE"/>
    <w:rsid w:val="008E0122"/>
    <w:rsid w:val="008E1C20"/>
    <w:rsid w:val="008E1F3D"/>
    <w:rsid w:val="0090121F"/>
    <w:rsid w:val="00903E5F"/>
    <w:rsid w:val="00906211"/>
    <w:rsid w:val="00923EF7"/>
    <w:rsid w:val="0092404E"/>
    <w:rsid w:val="00937030"/>
    <w:rsid w:val="00942778"/>
    <w:rsid w:val="0095336A"/>
    <w:rsid w:val="009547A2"/>
    <w:rsid w:val="00983236"/>
    <w:rsid w:val="009847E5"/>
    <w:rsid w:val="009905F0"/>
    <w:rsid w:val="00993FE5"/>
    <w:rsid w:val="009E19E8"/>
    <w:rsid w:val="00A12737"/>
    <w:rsid w:val="00A16099"/>
    <w:rsid w:val="00A2462A"/>
    <w:rsid w:val="00A2787C"/>
    <w:rsid w:val="00A37A61"/>
    <w:rsid w:val="00A45538"/>
    <w:rsid w:val="00A5184C"/>
    <w:rsid w:val="00A679B9"/>
    <w:rsid w:val="00A7560B"/>
    <w:rsid w:val="00A9041B"/>
    <w:rsid w:val="00AA5350"/>
    <w:rsid w:val="00AA6A42"/>
    <w:rsid w:val="00AB3031"/>
    <w:rsid w:val="00AB6C98"/>
    <w:rsid w:val="00AB7CD5"/>
    <w:rsid w:val="00AD0A45"/>
    <w:rsid w:val="00AD1381"/>
    <w:rsid w:val="00AD3955"/>
    <w:rsid w:val="00AE2C91"/>
    <w:rsid w:val="00AE2F02"/>
    <w:rsid w:val="00AF28F1"/>
    <w:rsid w:val="00AF51F1"/>
    <w:rsid w:val="00B16900"/>
    <w:rsid w:val="00B21FB3"/>
    <w:rsid w:val="00B36F72"/>
    <w:rsid w:val="00B4164F"/>
    <w:rsid w:val="00B42378"/>
    <w:rsid w:val="00B5499C"/>
    <w:rsid w:val="00B54A65"/>
    <w:rsid w:val="00B6237A"/>
    <w:rsid w:val="00B67294"/>
    <w:rsid w:val="00B7359A"/>
    <w:rsid w:val="00B85F50"/>
    <w:rsid w:val="00B87FB0"/>
    <w:rsid w:val="00BA0E7C"/>
    <w:rsid w:val="00BA2A5B"/>
    <w:rsid w:val="00BB434C"/>
    <w:rsid w:val="00BE0D93"/>
    <w:rsid w:val="00BE1B20"/>
    <w:rsid w:val="00C0309F"/>
    <w:rsid w:val="00C13F34"/>
    <w:rsid w:val="00C31A9F"/>
    <w:rsid w:val="00C33C83"/>
    <w:rsid w:val="00C504B4"/>
    <w:rsid w:val="00C53BCA"/>
    <w:rsid w:val="00C75D7E"/>
    <w:rsid w:val="00C82AE6"/>
    <w:rsid w:val="00C85727"/>
    <w:rsid w:val="00C92D60"/>
    <w:rsid w:val="00C97F67"/>
    <w:rsid w:val="00CA329A"/>
    <w:rsid w:val="00CB3918"/>
    <w:rsid w:val="00CB5347"/>
    <w:rsid w:val="00CB5527"/>
    <w:rsid w:val="00CC2BB4"/>
    <w:rsid w:val="00CC2D41"/>
    <w:rsid w:val="00CC336E"/>
    <w:rsid w:val="00CC3A70"/>
    <w:rsid w:val="00CD3BD4"/>
    <w:rsid w:val="00CD690F"/>
    <w:rsid w:val="00CE0BF4"/>
    <w:rsid w:val="00CE5D9C"/>
    <w:rsid w:val="00D04B20"/>
    <w:rsid w:val="00D1409D"/>
    <w:rsid w:val="00D27051"/>
    <w:rsid w:val="00D305F3"/>
    <w:rsid w:val="00D37C4D"/>
    <w:rsid w:val="00D44B4D"/>
    <w:rsid w:val="00D66868"/>
    <w:rsid w:val="00D67065"/>
    <w:rsid w:val="00D70314"/>
    <w:rsid w:val="00D707DA"/>
    <w:rsid w:val="00D71533"/>
    <w:rsid w:val="00D7686C"/>
    <w:rsid w:val="00DC1735"/>
    <w:rsid w:val="00DC2EA6"/>
    <w:rsid w:val="00DF2677"/>
    <w:rsid w:val="00E174AE"/>
    <w:rsid w:val="00E403A5"/>
    <w:rsid w:val="00E40F83"/>
    <w:rsid w:val="00E448AE"/>
    <w:rsid w:val="00E47E05"/>
    <w:rsid w:val="00E50051"/>
    <w:rsid w:val="00E5579A"/>
    <w:rsid w:val="00E67750"/>
    <w:rsid w:val="00E90467"/>
    <w:rsid w:val="00EA2A48"/>
    <w:rsid w:val="00EB299B"/>
    <w:rsid w:val="00EB7F7A"/>
    <w:rsid w:val="00EC220E"/>
    <w:rsid w:val="00EC5F48"/>
    <w:rsid w:val="00ED246B"/>
    <w:rsid w:val="00EE7795"/>
    <w:rsid w:val="00EF66E1"/>
    <w:rsid w:val="00F039FB"/>
    <w:rsid w:val="00F30568"/>
    <w:rsid w:val="00F35B76"/>
    <w:rsid w:val="00F3646B"/>
    <w:rsid w:val="00F7099B"/>
    <w:rsid w:val="00FB12DF"/>
    <w:rsid w:val="00FB4634"/>
    <w:rsid w:val="00FB6732"/>
    <w:rsid w:val="00FD0E9E"/>
    <w:rsid w:val="00FE31FD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32883"/>
  <w15:chartTrackingRefBased/>
  <w15:docId w15:val="{822A58F7-D809-41E6-B909-B606E063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06A"/>
    <w:pPr>
      <w:spacing w:after="120" w:line="240" w:lineRule="auto"/>
    </w:pPr>
    <w:rPr>
      <w:rFonts w:asciiTheme="minorHAnsi" w:eastAsiaTheme="minorEastAsia" w:hAnsiTheme="minorHAns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F51F1"/>
    <w:pPr>
      <w:spacing w:after="0"/>
      <w:jc w:val="center"/>
    </w:pPr>
    <w:rPr>
      <w:rFonts w:asciiTheme="majorHAnsi" w:eastAsiaTheme="majorEastAsia" w:hAnsiTheme="majorHAnsi" w:cstheme="majorBidi"/>
      <w:spacing w:val="10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F51F1"/>
    <w:rPr>
      <w:rFonts w:asciiTheme="majorHAnsi" w:eastAsiaTheme="majorEastAsia" w:hAnsiTheme="majorHAnsi" w:cstheme="majorBidi"/>
      <w:spacing w:val="10"/>
      <w:sz w:val="44"/>
      <w:szCs w:val="52"/>
    </w:rPr>
  </w:style>
  <w:style w:type="paragraph" w:styleId="Paragraphedeliste">
    <w:name w:val="List Paragraph"/>
    <w:basedOn w:val="Normal"/>
    <w:uiPriority w:val="34"/>
    <w:qFormat/>
    <w:rsid w:val="00AF51F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F51F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51F1"/>
    <w:rPr>
      <w:rFonts w:asciiTheme="minorHAnsi" w:eastAsiaTheme="minorEastAsia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2D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A32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329A"/>
  </w:style>
  <w:style w:type="character" w:customStyle="1" w:styleId="CommentaireCar">
    <w:name w:val="Commentaire Car"/>
    <w:basedOn w:val="Policepardfaut"/>
    <w:link w:val="Commentaire"/>
    <w:uiPriority w:val="99"/>
    <w:semiHidden/>
    <w:rsid w:val="00CA329A"/>
    <w:rPr>
      <w:rFonts w:asciiTheme="minorHAnsi" w:eastAsiaTheme="minorEastAsia" w:hAnsi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32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329A"/>
    <w:rPr>
      <w:rFonts w:asciiTheme="minorHAnsi" w:eastAsiaTheme="minorEastAsia" w:hAnsiTheme="min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329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329A"/>
    <w:rPr>
      <w:rFonts w:ascii="Segoe UI" w:eastAsiaTheme="minorEastAsia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E1F3D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2787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3E71-66AE-40F9-90FE-1C9E42B4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768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ROUSSEAU</dc:creator>
  <cp:keywords/>
  <dc:description/>
  <cp:lastModifiedBy>Utilisateur</cp:lastModifiedBy>
  <cp:revision>2</cp:revision>
  <dcterms:created xsi:type="dcterms:W3CDTF">2024-03-12T09:29:00Z</dcterms:created>
  <dcterms:modified xsi:type="dcterms:W3CDTF">2024-03-12T09:29:00Z</dcterms:modified>
</cp:coreProperties>
</file>