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1871" w14:textId="2FF5E393" w:rsidR="00AF51F1" w:rsidRPr="00CB5527" w:rsidRDefault="00AF51F1" w:rsidP="002612BC">
      <w:pPr>
        <w:pStyle w:val="Titre"/>
        <w:spacing w:before="100" w:beforeAutospacing="1" w:after="100" w:afterAutospacing="1"/>
        <w:rPr>
          <w:rFonts w:asciiTheme="minorHAnsi" w:hAnsiTheme="minorHAnsi" w:cstheme="minorHAnsi"/>
          <w:b/>
          <w:sz w:val="28"/>
          <w:szCs w:val="28"/>
        </w:rPr>
      </w:pPr>
      <w:r w:rsidRPr="00CB5527">
        <w:rPr>
          <w:rFonts w:asciiTheme="minorHAnsi" w:hAnsiTheme="minorHAnsi" w:cstheme="minorHAnsi"/>
          <w:b/>
          <w:sz w:val="28"/>
          <w:szCs w:val="28"/>
        </w:rPr>
        <w:t>Relevé de discussions du Conseil de l’ED DSP</w:t>
      </w:r>
      <w:r w:rsidRPr="00CB5527">
        <w:rPr>
          <w:rFonts w:asciiTheme="minorHAnsi" w:hAnsiTheme="minorHAnsi" w:cstheme="minorHAnsi"/>
          <w:b/>
          <w:sz w:val="28"/>
          <w:szCs w:val="28"/>
        </w:rPr>
        <w:br/>
      </w:r>
      <w:r w:rsidR="00040AEF">
        <w:rPr>
          <w:rFonts w:asciiTheme="minorHAnsi" w:hAnsiTheme="minorHAnsi" w:cstheme="minorHAnsi"/>
          <w:b/>
          <w:sz w:val="28"/>
          <w:szCs w:val="28"/>
        </w:rPr>
        <w:t>4 mai</w:t>
      </w:r>
      <w:r w:rsidR="0062007F" w:rsidRPr="00CB5527">
        <w:rPr>
          <w:rFonts w:asciiTheme="minorHAnsi" w:hAnsiTheme="minorHAnsi" w:cstheme="minorHAnsi"/>
          <w:b/>
          <w:sz w:val="28"/>
          <w:szCs w:val="28"/>
        </w:rPr>
        <w:t xml:space="preserve"> 2023</w:t>
      </w:r>
    </w:p>
    <w:p w14:paraId="42C3AB00" w14:textId="77777777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présents :</w:t>
      </w:r>
    </w:p>
    <w:p w14:paraId="67840041" w14:textId="6A04D71D" w:rsidR="00AF51F1" w:rsidRPr="00043656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Frédéric ALLAIRE</w:t>
      </w:r>
      <w:r w:rsidR="006977E4" w:rsidRPr="00043656">
        <w:rPr>
          <w:rFonts w:ascii="Times New Roman" w:hAnsi="Times New Roman" w:cs="Times New Roman"/>
          <w:iCs/>
          <w:sz w:val="22"/>
          <w:szCs w:val="22"/>
        </w:rPr>
        <w:t>, représentant pour le site de Nantes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D1780" w:rsidRPr="00043656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Pr="00043656">
        <w:rPr>
          <w:rFonts w:ascii="Times New Roman" w:hAnsi="Times New Roman" w:cs="Times New Roman"/>
          <w:iCs/>
          <w:sz w:val="22"/>
          <w:szCs w:val="22"/>
        </w:rPr>
        <w:t>CDMO</w:t>
      </w:r>
    </w:p>
    <w:p w14:paraId="2EE8C9E5" w14:textId="0FBE9DF0" w:rsidR="008857BE" w:rsidRDefault="008857BE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Romain BENETEAU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 des doctorants</w:t>
      </w:r>
    </w:p>
    <w:p w14:paraId="1EBDC8F2" w14:textId="1901002C" w:rsidR="004E4693" w:rsidRPr="00043656" w:rsidRDefault="004E4693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93437">
        <w:rPr>
          <w:rFonts w:ascii="Times New Roman" w:hAnsi="Times New Roman" w:cs="Times New Roman"/>
          <w:i/>
          <w:sz w:val="22"/>
          <w:szCs w:val="22"/>
        </w:rPr>
        <w:t>Charles Edouard BUCHER</w:t>
      </w:r>
      <w:r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043656">
        <w:rPr>
          <w:rFonts w:ascii="Times New Roman" w:hAnsi="Times New Roman" w:cs="Times New Roman"/>
          <w:iCs/>
          <w:sz w:val="22"/>
          <w:szCs w:val="22"/>
        </w:rPr>
        <w:t>représentante pour le site de Nantes - IRDP</w:t>
      </w:r>
    </w:p>
    <w:p w14:paraId="63F51571" w14:textId="19EA979D" w:rsidR="005D1780" w:rsidRPr="00043656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Emmanuel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43656">
        <w:rPr>
          <w:rFonts w:ascii="Times New Roman" w:hAnsi="Times New Roman" w:cs="Times New Roman"/>
          <w:i/>
          <w:iCs/>
          <w:sz w:val="22"/>
          <w:szCs w:val="22"/>
        </w:rPr>
        <w:t>CHENEVAL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393437">
        <w:rPr>
          <w:rFonts w:ascii="Times New Roman" w:hAnsi="Times New Roman" w:cs="Times New Roman"/>
          <w:iCs/>
          <w:sz w:val="22"/>
          <w:szCs w:val="22"/>
        </w:rPr>
        <w:t xml:space="preserve">avocat, </w:t>
      </w:r>
      <w:r w:rsidRPr="00043656">
        <w:rPr>
          <w:rFonts w:ascii="Times New Roman" w:hAnsi="Times New Roman" w:cs="Times New Roman"/>
          <w:iCs/>
          <w:sz w:val="22"/>
          <w:szCs w:val="22"/>
        </w:rPr>
        <w:t>personnalité extérieure</w:t>
      </w:r>
    </w:p>
    <w:p w14:paraId="0CEAEC29" w14:textId="08D482F7" w:rsidR="008857BE" w:rsidRDefault="008857BE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Gaétan CLIQUENNOIS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, représentant pour le site de Nantes </w:t>
      </w:r>
      <w:r w:rsidR="00FB4C65">
        <w:rPr>
          <w:rFonts w:ascii="Times New Roman" w:hAnsi="Times New Roman" w:cs="Times New Roman"/>
          <w:iCs/>
          <w:sz w:val="22"/>
          <w:szCs w:val="22"/>
        </w:rPr>
        <w:t>–</w:t>
      </w:r>
      <w:r w:rsidR="005D1780"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43656">
        <w:rPr>
          <w:rFonts w:ascii="Times New Roman" w:hAnsi="Times New Roman" w:cs="Times New Roman"/>
          <w:iCs/>
          <w:sz w:val="22"/>
          <w:szCs w:val="22"/>
        </w:rPr>
        <w:t>DCS</w:t>
      </w:r>
    </w:p>
    <w:p w14:paraId="0E985553" w14:textId="77777777" w:rsidR="00FB4C65" w:rsidRPr="005D633B" w:rsidRDefault="00FB4C65" w:rsidP="00FB4C65">
      <w:pPr>
        <w:spacing w:after="0"/>
        <w:jc w:val="both"/>
        <w:rPr>
          <w:rFonts w:cstheme="minorHAnsi"/>
          <w:iCs/>
          <w:sz w:val="22"/>
          <w:szCs w:val="22"/>
        </w:rPr>
      </w:pPr>
      <w:r w:rsidRPr="005D633B">
        <w:rPr>
          <w:rFonts w:cstheme="minorHAnsi"/>
          <w:i/>
          <w:iCs/>
          <w:sz w:val="22"/>
          <w:szCs w:val="22"/>
        </w:rPr>
        <w:t>Léo FREMONT</w:t>
      </w:r>
      <w:r w:rsidRPr="005D633B">
        <w:rPr>
          <w:rFonts w:cstheme="minorHAnsi"/>
          <w:iCs/>
          <w:sz w:val="22"/>
          <w:szCs w:val="22"/>
        </w:rPr>
        <w:t>, représentant des doctorants</w:t>
      </w:r>
    </w:p>
    <w:p w14:paraId="7EF48272" w14:textId="576DD18E" w:rsidR="008857BE" w:rsidRPr="00043656" w:rsidRDefault="008857BE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Elise GUILLET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, représentante pour le site d’Angers </w:t>
      </w:r>
      <w:r w:rsidR="005D1780" w:rsidRPr="00043656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Pr="00043656">
        <w:rPr>
          <w:rFonts w:ascii="Times New Roman" w:hAnsi="Times New Roman" w:cs="Times New Roman"/>
          <w:iCs/>
          <w:sz w:val="22"/>
          <w:szCs w:val="22"/>
        </w:rPr>
        <w:t>gestionnaire</w:t>
      </w:r>
    </w:p>
    <w:p w14:paraId="1FB44066" w14:textId="1DAA6C96" w:rsidR="005D1780" w:rsidRPr="00043656" w:rsidRDefault="005D1780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Rozenn GUYONVARCH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représentante des doctorants</w:t>
      </w:r>
    </w:p>
    <w:p w14:paraId="0BCD9BDD" w14:textId="77777777" w:rsidR="00AF51F1" w:rsidRPr="00043656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043656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Joël HAUTEBERT</w:t>
      </w:r>
      <w:r w:rsidR="00385BC8" w:rsidRPr="0004365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 xml:space="preserve">, Directeur-Adjoint de l’ED DSP </w:t>
      </w:r>
      <w:r w:rsidR="006977E4" w:rsidRPr="0004365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pour le site d’</w:t>
      </w:r>
      <w:r w:rsidRPr="0004365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Angers</w:t>
      </w:r>
    </w:p>
    <w:p w14:paraId="69E113DF" w14:textId="3A603BD8" w:rsidR="00AF51F1" w:rsidRPr="00043656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François HOURMANT</w:t>
      </w:r>
      <w:r w:rsidR="006977E4" w:rsidRPr="00043656">
        <w:rPr>
          <w:rFonts w:ascii="Times New Roman" w:hAnsi="Times New Roman" w:cs="Times New Roman"/>
          <w:iCs/>
          <w:sz w:val="22"/>
          <w:szCs w:val="22"/>
        </w:rPr>
        <w:t>, représentant pour le site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977E4" w:rsidRPr="00043656">
        <w:rPr>
          <w:rFonts w:ascii="Times New Roman" w:hAnsi="Times New Roman" w:cs="Times New Roman"/>
          <w:iCs/>
          <w:sz w:val="22"/>
          <w:szCs w:val="22"/>
        </w:rPr>
        <w:t xml:space="preserve">d’Angers </w:t>
      </w:r>
      <w:r w:rsidR="005D1780" w:rsidRPr="00043656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Pr="0004365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Centre Jean Bodin</w:t>
      </w:r>
    </w:p>
    <w:p w14:paraId="762681AB" w14:textId="65AE57E1" w:rsidR="005D1780" w:rsidRPr="00043656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Cs/>
          <w:sz w:val="22"/>
          <w:szCs w:val="22"/>
        </w:rPr>
        <w:t xml:space="preserve">Sylvie </w:t>
      </w:r>
      <w:r w:rsidRPr="00043656">
        <w:rPr>
          <w:rFonts w:ascii="Times New Roman" w:hAnsi="Times New Roman" w:cs="Times New Roman"/>
          <w:i/>
          <w:iCs/>
          <w:sz w:val="22"/>
          <w:szCs w:val="22"/>
        </w:rPr>
        <w:t>LEBRETON-DERRIEN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représentante pour le site du Mans - Thémis</w:t>
      </w:r>
    </w:p>
    <w:p w14:paraId="369E549C" w14:textId="084127C9" w:rsidR="00AF51F1" w:rsidRPr="00043656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043656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Mylène LE ROUX</w:t>
      </w:r>
      <w:r w:rsidR="00385BC8" w:rsidRPr="0004365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, Directrice de l’ED DSP</w:t>
      </w:r>
    </w:p>
    <w:p w14:paraId="7C2FA808" w14:textId="3FF858C1" w:rsidR="005D1780" w:rsidRPr="00043656" w:rsidRDefault="005D1780" w:rsidP="0062007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Jonathan PROUST</w:t>
      </w:r>
      <w:r w:rsidRPr="00043656">
        <w:rPr>
          <w:rFonts w:ascii="Times New Roman" w:hAnsi="Times New Roman" w:cs="Times New Roman"/>
          <w:iCs/>
          <w:sz w:val="22"/>
          <w:szCs w:val="22"/>
        </w:rPr>
        <w:t>, personnalité extérieure</w:t>
      </w:r>
    </w:p>
    <w:p w14:paraId="7320AF4C" w14:textId="77777777" w:rsidR="00AF51F1" w:rsidRPr="00043656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Sabrina ROBERT-CUENDET</w:t>
      </w:r>
      <w:r w:rsidR="00385BC8" w:rsidRPr="00043656">
        <w:rPr>
          <w:rFonts w:ascii="Times New Roman" w:hAnsi="Times New Roman" w:cs="Times New Roman"/>
          <w:iCs/>
          <w:sz w:val="22"/>
          <w:szCs w:val="22"/>
        </w:rPr>
        <w:t xml:space="preserve">, Directrice-Adjointe de l’ED DSP </w:t>
      </w:r>
      <w:r w:rsidR="006977E4" w:rsidRPr="00043656">
        <w:rPr>
          <w:rFonts w:ascii="Times New Roman" w:hAnsi="Times New Roman" w:cs="Times New Roman"/>
          <w:iCs/>
          <w:sz w:val="22"/>
          <w:szCs w:val="22"/>
        </w:rPr>
        <w:t>pour le site du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Mans</w:t>
      </w:r>
    </w:p>
    <w:p w14:paraId="47F1F384" w14:textId="51148577" w:rsidR="00AF51F1" w:rsidRPr="00043656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Sylvie ROUSSEAU</w:t>
      </w:r>
      <w:r w:rsidR="0062007F" w:rsidRPr="0004365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385BC8"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2007F" w:rsidRPr="00043656">
        <w:rPr>
          <w:rFonts w:ascii="Times New Roman" w:hAnsi="Times New Roman" w:cs="Times New Roman"/>
          <w:iCs/>
          <w:sz w:val="22"/>
          <w:szCs w:val="22"/>
        </w:rPr>
        <w:t>r</w:t>
      </w:r>
      <w:r w:rsidR="00385BC8" w:rsidRPr="00043656">
        <w:rPr>
          <w:rFonts w:ascii="Times New Roman" w:hAnsi="Times New Roman" w:cs="Times New Roman"/>
          <w:iCs/>
          <w:sz w:val="22"/>
          <w:szCs w:val="22"/>
        </w:rPr>
        <w:t>eprésentante pour le site de Nantes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D1780" w:rsidRPr="00043656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Pr="00043656">
        <w:rPr>
          <w:rFonts w:ascii="Times New Roman" w:hAnsi="Times New Roman" w:cs="Times New Roman"/>
          <w:iCs/>
          <w:sz w:val="22"/>
          <w:szCs w:val="22"/>
        </w:rPr>
        <w:t>ges</w:t>
      </w:r>
      <w:r w:rsidR="006977E4" w:rsidRPr="00043656">
        <w:rPr>
          <w:rFonts w:ascii="Times New Roman" w:hAnsi="Times New Roman" w:cs="Times New Roman"/>
          <w:iCs/>
          <w:sz w:val="22"/>
          <w:szCs w:val="22"/>
        </w:rPr>
        <w:t>tionnaire</w:t>
      </w:r>
    </w:p>
    <w:p w14:paraId="5A376F13" w14:textId="77777777" w:rsidR="005D1780" w:rsidRPr="00CB5527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51522EA1" w14:textId="3C63E66F" w:rsidR="00AF51F1" w:rsidRDefault="00AF51F1" w:rsidP="00CB5527">
      <w:pPr>
        <w:spacing w:after="0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excusés</w:t>
      </w:r>
      <w:r w:rsidRPr="00CB5527">
        <w:rPr>
          <w:rFonts w:ascii="Times New Roman" w:hAnsi="Times New Roman" w:cs="Times New Roman"/>
          <w:b/>
          <w:iCs/>
          <w:sz w:val="22"/>
          <w:szCs w:val="22"/>
        </w:rPr>
        <w:t> :</w:t>
      </w: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</w:t>
      </w:r>
    </w:p>
    <w:p w14:paraId="48F7F3E0" w14:textId="77777777" w:rsidR="00040AEF" w:rsidRDefault="00040AEF" w:rsidP="00040AEF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73E9EC2" w14:textId="77777777" w:rsidR="00040AEF" w:rsidRPr="00043656" w:rsidRDefault="00040AEF" w:rsidP="00040AE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Amélia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43656">
        <w:rPr>
          <w:rFonts w:ascii="Times New Roman" w:hAnsi="Times New Roman" w:cs="Times New Roman"/>
          <w:i/>
          <w:iCs/>
          <w:sz w:val="22"/>
          <w:szCs w:val="22"/>
        </w:rPr>
        <w:t>BORE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représentante pour le site du Mans – gestionnaire</w:t>
      </w:r>
    </w:p>
    <w:p w14:paraId="19D945A8" w14:textId="3F520789" w:rsidR="00040AEF" w:rsidRPr="00043656" w:rsidRDefault="00040AEF" w:rsidP="00040AE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Audrey LEBOIS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représentante pour le site de Nantes - IRDP</w:t>
      </w:r>
    </w:p>
    <w:p w14:paraId="28FF8806" w14:textId="77777777" w:rsidR="00B21441" w:rsidRPr="00043656" w:rsidRDefault="00B21441" w:rsidP="00B21441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fr-FR"/>
        </w:rPr>
        <w:t>Loïs RASCHEL</w:t>
      </w:r>
      <w:r w:rsidRPr="0004365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, personnalité extérieure</w:t>
      </w:r>
    </w:p>
    <w:p w14:paraId="3856A402" w14:textId="77777777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sz w:val="22"/>
          <w:szCs w:val="22"/>
          <w:u w:val="single"/>
        </w:rPr>
        <w:t>ORDRE DU JOUR</w:t>
      </w:r>
    </w:p>
    <w:p w14:paraId="139E47F8" w14:textId="77777777" w:rsidR="00040AEF" w:rsidRPr="00DA2ED8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A2ED8">
        <w:rPr>
          <w:rFonts w:ascii="Book Antiqua" w:hAnsi="Book Antiqua"/>
          <w:bCs/>
          <w:sz w:val="24"/>
          <w:szCs w:val="24"/>
        </w:rPr>
        <w:t xml:space="preserve">Approbation du CR du conseil du 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26 janvier</w:t>
      </w:r>
      <w:r w:rsidRPr="00600A2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202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3</w:t>
      </w:r>
    </w:p>
    <w:p w14:paraId="3A3BBD53" w14:textId="77777777" w:rsidR="00040AEF" w:rsidRPr="00DA2ED8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A2ED8">
        <w:rPr>
          <w:rFonts w:ascii="Book Antiqua" w:hAnsi="Book Antiqua"/>
          <w:bCs/>
          <w:sz w:val="24"/>
          <w:szCs w:val="24"/>
        </w:rPr>
        <w:t>Bilan sur la campagne de soutien aux doctorants</w:t>
      </w:r>
    </w:p>
    <w:p w14:paraId="20DAF6E4" w14:textId="77777777" w:rsidR="00040AEF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Projet de Master Class : site et dates</w:t>
      </w:r>
    </w:p>
    <w:p w14:paraId="0B3E4539" w14:textId="77777777" w:rsidR="00040AEF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Mise en place des formations en anglais</w:t>
      </w:r>
    </w:p>
    <w:p w14:paraId="6EF25E9E" w14:textId="77777777" w:rsidR="00040AEF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Bilan enquête SIREDO (doc. PJ)</w:t>
      </w:r>
    </w:p>
    <w:p w14:paraId="6324B51A" w14:textId="77777777" w:rsidR="00040AEF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709" w:hanging="709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Vie des sites - notamment sélection des contrats doctoraux d’établissement</w:t>
      </w:r>
      <w:r>
        <w:rPr>
          <w:rStyle w:val="Appelnotedebasdep"/>
          <w:rFonts w:ascii="Book Antiqua" w:eastAsia="Times New Roman" w:hAnsi="Book Antiqua" w:cs="Times New Roman"/>
          <w:sz w:val="24"/>
          <w:szCs w:val="24"/>
          <w:lang w:eastAsia="fr-FR"/>
        </w:rPr>
        <w:footnoteReference w:id="1"/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et campagne des CSI.  </w:t>
      </w:r>
    </w:p>
    <w:p w14:paraId="1244A142" w14:textId="77777777" w:rsidR="00040AEF" w:rsidRPr="00600A29" w:rsidRDefault="00040AEF" w:rsidP="00040AEF">
      <w:pPr>
        <w:pStyle w:val="Paragraphedeliste"/>
        <w:numPr>
          <w:ilvl w:val="0"/>
          <w:numId w:val="3"/>
        </w:numPr>
        <w:spacing w:before="240" w:after="160"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Questions diverses</w:t>
      </w:r>
    </w:p>
    <w:p w14:paraId="63C7390E" w14:textId="77777777" w:rsidR="00CB3918" w:rsidRPr="00CB5527" w:rsidRDefault="00CB3918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</w:p>
    <w:p w14:paraId="1A75297E" w14:textId="77777777" w:rsidR="006F4CD7" w:rsidRDefault="006F4CD7">
      <w:pPr>
        <w:spacing w:after="200"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063F8944" w14:textId="77777777" w:rsidR="006F4CD7" w:rsidRDefault="006F4CD7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6C58DB7D" w14:textId="1BC59706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B5527">
        <w:rPr>
          <w:rFonts w:ascii="Times New Roman" w:hAnsi="Times New Roman" w:cs="Times New Roman"/>
          <w:b/>
          <w:i/>
          <w:sz w:val="22"/>
          <w:szCs w:val="22"/>
        </w:rPr>
        <w:t xml:space="preserve">Début de la séance : </w:t>
      </w:r>
      <w:r w:rsidR="00040AEF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C92D60" w:rsidRPr="00CB5527">
        <w:rPr>
          <w:rFonts w:ascii="Times New Roman" w:hAnsi="Times New Roman" w:cs="Times New Roman"/>
          <w:b/>
          <w:i/>
          <w:sz w:val="22"/>
          <w:szCs w:val="22"/>
        </w:rPr>
        <w:t>h00</w:t>
      </w:r>
    </w:p>
    <w:p w14:paraId="79398167" w14:textId="2D8103FD" w:rsidR="005A446A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A2ED8">
        <w:rPr>
          <w:rFonts w:ascii="Book Antiqua" w:hAnsi="Book Antiqua"/>
          <w:bCs/>
          <w:sz w:val="24"/>
          <w:szCs w:val="24"/>
        </w:rPr>
        <w:t xml:space="preserve">Approbation du CR du conseil du 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26 janvier</w:t>
      </w:r>
      <w:r w:rsidRPr="00600A2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202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3</w:t>
      </w:r>
    </w:p>
    <w:p w14:paraId="56C57E8A" w14:textId="2595FE99" w:rsidR="00FE6BEE" w:rsidRDefault="00FE6BEE" w:rsidP="00FE6BEE">
      <w:pPr>
        <w:pStyle w:val="Paragraphedeliste"/>
        <w:spacing w:before="240" w:after="160" w:line="276" w:lineRule="auto"/>
        <w:rPr>
          <w:rFonts w:eastAsia="Times New Roman" w:cstheme="minorHAnsi"/>
          <w:lang w:eastAsia="fr-FR"/>
        </w:rPr>
      </w:pPr>
      <w:r w:rsidRPr="00FE6BEE">
        <w:rPr>
          <w:rFonts w:eastAsia="Times New Roman" w:cstheme="minorHAnsi"/>
          <w:lang w:eastAsia="fr-FR"/>
        </w:rPr>
        <w:t>Le compte rendu du 29 septembre 2022 est adopté à l’unanimité</w:t>
      </w:r>
    </w:p>
    <w:p w14:paraId="0654F3F3" w14:textId="77777777" w:rsidR="001D73A4" w:rsidRPr="00FE6BEE" w:rsidRDefault="001D73A4" w:rsidP="00FE6BEE">
      <w:pPr>
        <w:pStyle w:val="Paragraphedeliste"/>
        <w:spacing w:before="240" w:after="160" w:line="276" w:lineRule="auto"/>
        <w:rPr>
          <w:rFonts w:eastAsia="Times New Roman" w:cstheme="minorHAnsi"/>
          <w:lang w:eastAsia="fr-FR"/>
        </w:rPr>
      </w:pPr>
    </w:p>
    <w:p w14:paraId="2E2643B5" w14:textId="4B4C4C7B" w:rsidR="005A446A" w:rsidRPr="005A446A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A2ED8">
        <w:rPr>
          <w:rFonts w:ascii="Book Antiqua" w:hAnsi="Book Antiqua"/>
          <w:bCs/>
          <w:sz w:val="24"/>
          <w:szCs w:val="24"/>
        </w:rPr>
        <w:t>Bilan sur la campagne de soutien aux doctorants</w:t>
      </w:r>
    </w:p>
    <w:p w14:paraId="300AEA7F" w14:textId="77777777" w:rsidR="0027282C" w:rsidRDefault="0027282C" w:rsidP="00D560FA">
      <w:pPr>
        <w:pStyle w:val="Paragraphedeliste"/>
        <w:jc w:val="both"/>
      </w:pPr>
      <w:r>
        <w:t>L</w:t>
      </w:r>
      <w:r w:rsidR="004E4693">
        <w:t>a campagne de soutien aux doctorants</w:t>
      </w:r>
      <w:r>
        <w:t xml:space="preserve"> a pour but</w:t>
      </w:r>
      <w:r w:rsidR="004E4693">
        <w:t xml:space="preserve"> d'aider financièrement les doctorants</w:t>
      </w:r>
      <w:r>
        <w:t xml:space="preserve"> pour </w:t>
      </w:r>
      <w:r w:rsidR="004E4693">
        <w:t>leur mobilité</w:t>
      </w:r>
      <w:r>
        <w:t xml:space="preserve">, </w:t>
      </w:r>
      <w:r w:rsidR="004E4693">
        <w:t>internationale ou national</w:t>
      </w:r>
      <w:r>
        <w:t>e. Il peut aussi s’agir d’</w:t>
      </w:r>
      <w:r w:rsidR="004E4693">
        <w:t>une aide financière qui peut être attribuée aux événements scientifiques qu'ils organisent</w:t>
      </w:r>
      <w:r>
        <w:t>.</w:t>
      </w:r>
    </w:p>
    <w:p w14:paraId="4D5E2CE4" w14:textId="39831364" w:rsidR="0027282C" w:rsidRDefault="0027282C" w:rsidP="00D560FA">
      <w:pPr>
        <w:pStyle w:val="Paragraphedeliste"/>
        <w:jc w:val="both"/>
      </w:pPr>
      <w:r>
        <w:t>P</w:t>
      </w:r>
      <w:r w:rsidR="004E4693">
        <w:t xml:space="preserve">our la campagne qui s'est déroulée en en début d'année 2023, </w:t>
      </w:r>
      <w:r>
        <w:t>l’école doctorale a reçu trois</w:t>
      </w:r>
      <w:r w:rsidR="004E4693">
        <w:t xml:space="preserve"> dossiers</w:t>
      </w:r>
      <w:r>
        <w:t xml:space="preserve"> qui ont été étudié</w:t>
      </w:r>
      <w:r w:rsidR="00AE6617">
        <w:t>s</w:t>
      </w:r>
      <w:r>
        <w:t xml:space="preserve"> en bureau.</w:t>
      </w:r>
    </w:p>
    <w:p w14:paraId="171623C6" w14:textId="568630EF" w:rsidR="0027282C" w:rsidRDefault="0027282C" w:rsidP="00D560FA">
      <w:pPr>
        <w:pStyle w:val="Paragraphedeliste"/>
        <w:jc w:val="both"/>
      </w:pPr>
      <w:r>
        <w:t xml:space="preserve">Il est rappelé qu’il s’agit d’une </w:t>
      </w:r>
      <w:r w:rsidR="004E4693">
        <w:t xml:space="preserve">information </w:t>
      </w:r>
      <w:r>
        <w:t>au</w:t>
      </w:r>
      <w:r w:rsidR="004E4693">
        <w:t xml:space="preserve"> Conseil </w:t>
      </w:r>
      <w:r w:rsidR="00AE6617">
        <w:t xml:space="preserve">de l’ED </w:t>
      </w:r>
      <w:r>
        <w:t>puisque les décisions se prennent en bureau.</w:t>
      </w:r>
    </w:p>
    <w:p w14:paraId="430B87C3" w14:textId="77777777" w:rsidR="0027282C" w:rsidRDefault="0027282C" w:rsidP="001D73A4">
      <w:pPr>
        <w:pStyle w:val="Paragraphedeliste"/>
      </w:pPr>
    </w:p>
    <w:p w14:paraId="024412D6" w14:textId="1700E225" w:rsidR="0027282C" w:rsidRDefault="00EC3E60" w:rsidP="00EC3E60">
      <w:pPr>
        <w:pStyle w:val="Paragraphedeliste"/>
        <w:ind w:left="-567"/>
      </w:pPr>
      <w:r w:rsidRPr="00EC3E60">
        <w:rPr>
          <w:noProof/>
        </w:rPr>
        <w:drawing>
          <wp:inline distT="0" distB="0" distL="0" distR="0" wp14:anchorId="53F9628F" wp14:editId="747D3BCB">
            <wp:extent cx="6604204" cy="2714625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3471" cy="271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0D86" w14:textId="77777777" w:rsidR="0027282C" w:rsidRDefault="0027282C" w:rsidP="001D73A4">
      <w:pPr>
        <w:pStyle w:val="Paragraphedeliste"/>
      </w:pPr>
    </w:p>
    <w:p w14:paraId="0D0030D4" w14:textId="138447D8" w:rsidR="005A446A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Projet de Master Class : site et dates</w:t>
      </w:r>
    </w:p>
    <w:p w14:paraId="4B66DC3E" w14:textId="77777777" w:rsidR="00532B78" w:rsidRDefault="00532B78" w:rsidP="00D560FA">
      <w:pPr>
        <w:pStyle w:val="Paragraphedeliste"/>
        <w:jc w:val="both"/>
      </w:pPr>
      <w:r>
        <w:t>Il a été décidé d’organiser les prochaines Masterclass en collaboration avec l’école doctorale DSP Bretagne mais nous serons les porteurs de cet événement.</w:t>
      </w:r>
    </w:p>
    <w:p w14:paraId="47FFA439" w14:textId="4CB65E40" w:rsidR="00532B78" w:rsidRDefault="00532B78" w:rsidP="00D560FA">
      <w:pPr>
        <w:pStyle w:val="Paragraphedeliste"/>
        <w:jc w:val="both"/>
      </w:pPr>
      <w:r>
        <w:t xml:space="preserve">La prochaine édition pourrait avoir lieu au printemps 2024, </w:t>
      </w:r>
      <w:r w:rsidR="00324FFF">
        <w:t xml:space="preserve">à Saint-Nazaire </w:t>
      </w:r>
      <w:r>
        <w:t>pendant deux jours à destination de tous les doctorants DSP</w:t>
      </w:r>
      <w:r w:rsidR="00393437">
        <w:t xml:space="preserve"> Bretagne et Pays de la Loire. </w:t>
      </w:r>
    </w:p>
    <w:p w14:paraId="4D6D9B4B" w14:textId="00EB778C" w:rsidR="002C6C6C" w:rsidRDefault="002C6C6C" w:rsidP="00532B78">
      <w:pPr>
        <w:pStyle w:val="Paragraphedeliste"/>
      </w:pPr>
    </w:p>
    <w:p w14:paraId="6455ED87" w14:textId="77777777" w:rsidR="002C6C6C" w:rsidRDefault="002C6C6C" w:rsidP="00532B78">
      <w:pPr>
        <w:pStyle w:val="Paragraphedeliste"/>
      </w:pPr>
    </w:p>
    <w:p w14:paraId="5B5DDFB9" w14:textId="3A9EAD53" w:rsidR="005A446A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Mise en place d</w:t>
      </w:r>
      <w:r w:rsidR="00393437">
        <w:rPr>
          <w:rFonts w:ascii="Book Antiqua" w:eastAsia="Times New Roman" w:hAnsi="Book Antiqua" w:cs="Times New Roman"/>
          <w:sz w:val="24"/>
          <w:szCs w:val="24"/>
          <w:lang w:eastAsia="fr-FR"/>
        </w:rPr>
        <w:t>’une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formation en anglais</w:t>
      </w:r>
    </w:p>
    <w:p w14:paraId="7E4E3BE4" w14:textId="77777777" w:rsidR="00705C5D" w:rsidRDefault="00705C5D" w:rsidP="00D560FA">
      <w:pPr>
        <w:pStyle w:val="Paragraphedeliste"/>
        <w:jc w:val="both"/>
      </w:pPr>
      <w:r>
        <w:t>C’est une nouvelle formation qui a été mise en place cette année, en présentiel sur chaque site.</w:t>
      </w:r>
    </w:p>
    <w:p w14:paraId="726324A5" w14:textId="3DFACB1C" w:rsidR="00705C5D" w:rsidRDefault="00705C5D" w:rsidP="00D560FA">
      <w:pPr>
        <w:pStyle w:val="Paragraphedeliste"/>
        <w:jc w:val="both"/>
      </w:pPr>
      <w:r>
        <w:t xml:space="preserve">Sur Nantes </w:t>
      </w:r>
      <w:r w:rsidR="00C55159">
        <w:t>s’est constitué un groupe difficilement</w:t>
      </w:r>
      <w:r w:rsidR="00AE6617">
        <w:t>, en rajoutant des doctorants autre</w:t>
      </w:r>
      <w:r w:rsidR="00393437">
        <w:t>s</w:t>
      </w:r>
      <w:r w:rsidR="00AE6617">
        <w:t xml:space="preserve"> que les juristes.</w:t>
      </w:r>
    </w:p>
    <w:p w14:paraId="6D8DF6A7" w14:textId="37932D52" w:rsidR="00705C5D" w:rsidRDefault="00705C5D" w:rsidP="00D560FA">
      <w:pPr>
        <w:pStyle w:val="Paragraphedeliste"/>
        <w:jc w:val="both"/>
      </w:pPr>
      <w:r>
        <w:t>Au Mans la formation n’a pas pu être mise en place malgré toute la bonne volonté de la formatrice qui a essayé différentes adaptations comme un coaching personnalisé.</w:t>
      </w:r>
    </w:p>
    <w:p w14:paraId="243E6C25" w14:textId="584C2C30" w:rsidR="00C55159" w:rsidRDefault="00C55159" w:rsidP="00D560FA">
      <w:pPr>
        <w:pStyle w:val="Paragraphedeliste"/>
        <w:jc w:val="both"/>
      </w:pPr>
      <w:r>
        <w:t>Certaines difficultés ont été r</w:t>
      </w:r>
      <w:r w:rsidR="00393437">
        <w:t>elevées</w:t>
      </w:r>
      <w:r>
        <w:t xml:space="preserve"> par les représentants des doctorants comme le nombre d’heures et de séances trop importants et le fait que la formation soit en présentiel.</w:t>
      </w:r>
    </w:p>
    <w:p w14:paraId="569F0E7A" w14:textId="3FBE8AE6" w:rsidR="00384719" w:rsidRDefault="00C55159" w:rsidP="00D560FA">
      <w:pPr>
        <w:pStyle w:val="Paragraphedeliste"/>
        <w:jc w:val="both"/>
      </w:pPr>
      <w:r>
        <w:t xml:space="preserve">Une doctorante a aussi relevé le point concernant le niveau élevé </w:t>
      </w:r>
      <w:r w:rsidR="00AE6617">
        <w:t xml:space="preserve">de cette formation </w:t>
      </w:r>
      <w:r>
        <w:t>en anglais</w:t>
      </w:r>
      <w:r w:rsidR="00AE6617">
        <w:t>.</w:t>
      </w:r>
    </w:p>
    <w:p w14:paraId="51409ABA" w14:textId="7746684F" w:rsidR="004C7825" w:rsidRDefault="00AE6617" w:rsidP="00D560FA">
      <w:pPr>
        <w:pStyle w:val="Paragraphedeliste"/>
        <w:jc w:val="both"/>
      </w:pPr>
      <w:r>
        <w:t>Selon un doctorant d’Angers, ses homologues</w:t>
      </w:r>
      <w:r w:rsidR="004C7825">
        <w:t xml:space="preserve"> en droit privé ne sont pas intéressés par ce type de formation contrairement à ceux de droit public.</w:t>
      </w:r>
    </w:p>
    <w:p w14:paraId="1C806874" w14:textId="77EFAFB9" w:rsidR="00C55159" w:rsidRDefault="00C55159" w:rsidP="00D560FA">
      <w:pPr>
        <w:pStyle w:val="Paragraphedeliste"/>
        <w:jc w:val="both"/>
      </w:pPr>
      <w:r>
        <w:t xml:space="preserve">Il faudrait </w:t>
      </w:r>
      <w:r w:rsidR="00384719">
        <w:t>peut-être</w:t>
      </w:r>
      <w:r>
        <w:t xml:space="preserve"> réfléchir à proposer du </w:t>
      </w:r>
      <w:r w:rsidR="00393437">
        <w:t>« </w:t>
      </w:r>
      <w:r w:rsidR="00AE6617">
        <w:t>sur</w:t>
      </w:r>
      <w:r w:rsidR="00393437">
        <w:t>-</w:t>
      </w:r>
      <w:r>
        <w:t>mesure</w:t>
      </w:r>
      <w:r w:rsidR="00393437">
        <w:t> »</w:t>
      </w:r>
      <w:r>
        <w:t>, plutôt pour des doctorants en fin de parcours</w:t>
      </w:r>
      <w:r w:rsidR="00384719">
        <w:t xml:space="preserve">, qui ont de bonnes bases en anglais sur une journée ou une demi-journée, en individuel ou en binôme pour travailler sur un projet, </w:t>
      </w:r>
      <w:r w:rsidR="00393437">
        <w:t xml:space="preserve">la </w:t>
      </w:r>
      <w:r w:rsidR="00384719">
        <w:t xml:space="preserve">présentation d’un </w:t>
      </w:r>
      <w:r w:rsidR="00393437">
        <w:t>article</w:t>
      </w:r>
      <w:r w:rsidR="00384719">
        <w:t>, de la thèse…</w:t>
      </w:r>
    </w:p>
    <w:p w14:paraId="7D1774F2" w14:textId="77777777" w:rsidR="00705C5D" w:rsidRDefault="00705C5D" w:rsidP="002C6C6C">
      <w:pPr>
        <w:pStyle w:val="Paragraphedeliste"/>
      </w:pPr>
    </w:p>
    <w:p w14:paraId="3B5CAA94" w14:textId="52B80EEF" w:rsidR="005A446A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Bilan enquête SIREDO (doc. PJ)</w:t>
      </w:r>
    </w:p>
    <w:p w14:paraId="71584910" w14:textId="75F69A03" w:rsidR="00F27EC2" w:rsidRDefault="0095696D" w:rsidP="00D560FA">
      <w:pPr>
        <w:pStyle w:val="Paragraphedeliste"/>
        <w:jc w:val="both"/>
      </w:pPr>
      <w:r>
        <w:t>L’enquête SIREDO est diligentée par le ministère de l’enseignement supérieur</w:t>
      </w:r>
      <w:r w:rsidR="00F27EC2">
        <w:t xml:space="preserve"> tous les ans. Elle porte sur les effectifs des doctorants </w:t>
      </w:r>
      <w:r w:rsidR="00AE6617">
        <w:t>en séparant</w:t>
      </w:r>
      <w:r w:rsidR="00F27EC2">
        <w:t xml:space="preserve"> chaque école doctorale.</w:t>
      </w:r>
    </w:p>
    <w:p w14:paraId="178C8150" w14:textId="77777777" w:rsidR="00F27EC2" w:rsidRDefault="00F27EC2" w:rsidP="00D560FA">
      <w:pPr>
        <w:pStyle w:val="Paragraphedeliste"/>
        <w:jc w:val="both"/>
      </w:pPr>
      <w:r>
        <w:t>Pour l’école doctorale DSP Pays de la Loire, en 2022-2023 nous avons eu 21 primo entrants ce qui monte les effectifs à 184 doctorants.</w:t>
      </w:r>
    </w:p>
    <w:p w14:paraId="3FAC559E" w14:textId="77DC58A8" w:rsidR="00F27EC2" w:rsidRDefault="00E24901" w:rsidP="00D560FA">
      <w:pPr>
        <w:pStyle w:val="Paragraphedeliste"/>
        <w:jc w:val="both"/>
      </w:pPr>
      <w:r>
        <w:t>Sur ces 21 primo entrants, treize</w:t>
      </w:r>
      <w:r w:rsidR="00F27EC2">
        <w:t xml:space="preserve"> thèses</w:t>
      </w:r>
      <w:r w:rsidR="00393437">
        <w:t xml:space="preserve"> sont</w:t>
      </w:r>
      <w:r w:rsidR="00391555">
        <w:t xml:space="preserve"> sans financement dédié</w:t>
      </w:r>
      <w:r>
        <w:t>.</w:t>
      </w:r>
    </w:p>
    <w:p w14:paraId="7BF550A9" w14:textId="2626617B" w:rsidR="00E24901" w:rsidRDefault="00E24901" w:rsidP="00D560FA">
      <w:pPr>
        <w:pStyle w:val="Paragraphedeliste"/>
        <w:jc w:val="both"/>
      </w:pPr>
      <w:r>
        <w:t>C</w:t>
      </w:r>
      <w:r w:rsidR="00391555">
        <w:t xml:space="preserve">'est une donnée importante </w:t>
      </w:r>
      <w:r>
        <w:t>parce qu’il</w:t>
      </w:r>
      <w:r w:rsidR="00391555">
        <w:t xml:space="preserve"> est souvent question dans les débats avec la présidence et avec le ministère de cette question du financement</w:t>
      </w:r>
      <w:r>
        <w:t>. La</w:t>
      </w:r>
      <w:r w:rsidR="00391555">
        <w:t xml:space="preserve"> volonté </w:t>
      </w:r>
      <w:r w:rsidR="00AE6617">
        <w:t>de ces entités</w:t>
      </w:r>
      <w:r w:rsidR="00391555">
        <w:t xml:space="preserve"> serait </w:t>
      </w:r>
      <w:r>
        <w:t>de n’accepter</w:t>
      </w:r>
      <w:r w:rsidR="00391555">
        <w:t xml:space="preserve"> que les </w:t>
      </w:r>
      <w:r>
        <w:t>thèses</w:t>
      </w:r>
      <w:r w:rsidR="00391555">
        <w:t xml:space="preserve"> financé</w:t>
      </w:r>
      <w:r>
        <w:t>e</w:t>
      </w:r>
      <w:r w:rsidR="00391555">
        <w:t xml:space="preserve">s, mais </w:t>
      </w:r>
      <w:r>
        <w:t>cela signifie qu’</w:t>
      </w:r>
      <w:r w:rsidR="00391555">
        <w:t>en droit et sciences politiques,</w:t>
      </w:r>
      <w:r>
        <w:t xml:space="preserve"> nous aurions </w:t>
      </w:r>
      <w:r w:rsidR="00FD228F">
        <w:t>deux tiers</w:t>
      </w:r>
      <w:r>
        <w:t xml:space="preserve"> d’effectif en moins. </w:t>
      </w:r>
      <w:r w:rsidR="00391555">
        <w:t xml:space="preserve">D'autant que certains commencent sans financement </w:t>
      </w:r>
      <w:r>
        <w:t xml:space="preserve">et en obtiennent un en deuxième année. </w:t>
      </w:r>
      <w:r w:rsidR="00DD377A">
        <w:t>Pour bien faire, il faudrait augmenter le nombre de contrats doctoraux.</w:t>
      </w:r>
    </w:p>
    <w:p w14:paraId="0827C68C" w14:textId="3FBC52D5" w:rsidR="00FB4C65" w:rsidRDefault="00FB4C65" w:rsidP="00D560FA">
      <w:pPr>
        <w:pStyle w:val="Paragraphedeliste"/>
        <w:jc w:val="both"/>
      </w:pPr>
      <w:r>
        <w:t>Dix-sept thèses ont été soutenues avec une durée moyenne de plus ou moins 80 mois</w:t>
      </w:r>
      <w:r w:rsidR="00AE6617">
        <w:t xml:space="preserve"> soit six ans trois quart</w:t>
      </w:r>
      <w:r>
        <w:t>. Il faudrait essayer de diminuer cette durée qui devrait être inférieure à six ans.</w:t>
      </w:r>
    </w:p>
    <w:p w14:paraId="669929E1" w14:textId="77777777" w:rsidR="00A100DF" w:rsidRDefault="00A100DF" w:rsidP="004C7825">
      <w:pPr>
        <w:pStyle w:val="Paragraphedeliste"/>
      </w:pPr>
    </w:p>
    <w:p w14:paraId="6C5A7701" w14:textId="77777777" w:rsidR="004C5AF4" w:rsidRDefault="004C5AF4" w:rsidP="004C7825">
      <w:pPr>
        <w:pStyle w:val="Paragraphedeliste"/>
      </w:pPr>
    </w:p>
    <w:p w14:paraId="23FD382C" w14:textId="77777777" w:rsidR="004418FA" w:rsidRDefault="005A446A" w:rsidP="004418FA">
      <w:pPr>
        <w:pStyle w:val="Paragraphedeliste"/>
        <w:numPr>
          <w:ilvl w:val="0"/>
          <w:numId w:val="6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5A446A">
        <w:rPr>
          <w:rFonts w:ascii="Book Antiqua" w:eastAsia="Times New Roman" w:hAnsi="Book Antiqua" w:cs="Times New Roman"/>
          <w:sz w:val="24"/>
          <w:szCs w:val="24"/>
          <w:lang w:eastAsia="fr-FR"/>
        </w:rPr>
        <w:t>Vie des sites - notamment sélection des contrats doctoraux d’établissement et campagne des CSI</w:t>
      </w:r>
    </w:p>
    <w:p w14:paraId="2CE09481" w14:textId="5F840C8A" w:rsidR="004418FA" w:rsidRDefault="004223F2" w:rsidP="00C27D41">
      <w:pPr>
        <w:pStyle w:val="Paragraphedeliste"/>
        <w:jc w:val="both"/>
      </w:pPr>
      <w:r>
        <w:t>La</w:t>
      </w:r>
      <w:r w:rsidR="00A100DF">
        <w:t xml:space="preserve"> campagne des CSI</w:t>
      </w:r>
      <w:r>
        <w:t xml:space="preserve"> a </w:t>
      </w:r>
      <w:r w:rsidR="00A100DF">
        <w:t xml:space="preserve">démarré </w:t>
      </w:r>
      <w:r w:rsidR="004418FA">
        <w:t>sur les trois sites.</w:t>
      </w:r>
      <w:r w:rsidR="00644695">
        <w:t xml:space="preserve"> Dans un premier temps les doctorants doivent mettre la composition de leur CSI sur la plateforme Améthis et indiquer la date de la réunion.</w:t>
      </w:r>
      <w:r w:rsidR="00644695">
        <w:br/>
        <w:t xml:space="preserve">Ensuite, le membre désigné comme « correspondant » devra </w:t>
      </w:r>
      <w:r w:rsidR="00AE6617">
        <w:t xml:space="preserve">y </w:t>
      </w:r>
      <w:r w:rsidR="00644695">
        <w:t>dépos</w:t>
      </w:r>
      <w:r w:rsidR="00D560FA">
        <w:t>er</w:t>
      </w:r>
      <w:r w:rsidR="00644695">
        <w:t xml:space="preserve"> les documents</w:t>
      </w:r>
      <w:r w:rsidR="00AE6617">
        <w:t xml:space="preserve"> rédigés et signés.</w:t>
      </w:r>
    </w:p>
    <w:p w14:paraId="5F5DDD82" w14:textId="77777777" w:rsidR="00644695" w:rsidRDefault="00644695" w:rsidP="00C27D41">
      <w:pPr>
        <w:pStyle w:val="Paragraphedeliste"/>
        <w:jc w:val="both"/>
      </w:pPr>
    </w:p>
    <w:p w14:paraId="1A1DC976" w14:textId="206BB726" w:rsidR="00AB2DF4" w:rsidRDefault="004418FA" w:rsidP="00C27D41">
      <w:pPr>
        <w:pStyle w:val="Paragraphedeliste"/>
        <w:jc w:val="both"/>
      </w:pPr>
      <w:r>
        <w:t>La</w:t>
      </w:r>
      <w:r w:rsidR="00A100DF">
        <w:t xml:space="preserve"> procédure </w:t>
      </w:r>
      <w:r>
        <w:t>de sélection des contrats doctoraux n’est pas unifiée mais elle s’oriente en ce sens.</w:t>
      </w:r>
    </w:p>
    <w:p w14:paraId="574F96C3" w14:textId="1FDEC2C9" w:rsidR="00A72204" w:rsidRDefault="00A72204" w:rsidP="00C27D41">
      <w:pPr>
        <w:pStyle w:val="Paragraphedeliste"/>
        <w:jc w:val="both"/>
      </w:pPr>
      <w:r>
        <w:t>Les candidats devront postuler sur la plateforme TEBL</w:t>
      </w:r>
      <w:r w:rsidR="00AE6617">
        <w:t xml:space="preserve"> pour les trois sites</w:t>
      </w:r>
      <w:r>
        <w:t>.</w:t>
      </w:r>
    </w:p>
    <w:p w14:paraId="71B4BC25" w14:textId="74E313B4" w:rsidR="00AB2DF4" w:rsidRDefault="004418FA" w:rsidP="00C27D41">
      <w:pPr>
        <w:pStyle w:val="Paragraphedeliste"/>
        <w:jc w:val="both"/>
      </w:pPr>
      <w:r w:rsidRPr="00F75E83">
        <w:rPr>
          <w:b/>
        </w:rPr>
        <w:t>Le Mans Université</w:t>
      </w:r>
      <w:r>
        <w:t xml:space="preserve"> a obtenu deux </w:t>
      </w:r>
      <w:r w:rsidR="00AB2DF4">
        <w:t>contrats doctorau</w:t>
      </w:r>
      <w:r>
        <w:t>x</w:t>
      </w:r>
      <w:r w:rsidR="00393437">
        <w:t> :</w:t>
      </w:r>
      <w:r w:rsidR="00AB2DF4">
        <w:t xml:space="preserve"> un contrat d’établissement et un contrat des collectivités</w:t>
      </w:r>
      <w:r w:rsidR="00353718">
        <w:t xml:space="preserve"> de la Mayenne</w:t>
      </w:r>
      <w:r>
        <w:t>. L</w:t>
      </w:r>
      <w:r w:rsidR="00AB2DF4">
        <w:t xml:space="preserve">es </w:t>
      </w:r>
      <w:r w:rsidR="00353718">
        <w:t xml:space="preserve">directrices de laboratoire et de master </w:t>
      </w:r>
      <w:r w:rsidR="00AB2DF4">
        <w:t>sont en train de rechercher les thématiques de recherche</w:t>
      </w:r>
      <w:r w:rsidR="00353718">
        <w:t>.</w:t>
      </w:r>
      <w:r>
        <w:t xml:space="preserve"> Le calendrier va être calé su</w:t>
      </w:r>
      <w:r w:rsidR="00353718">
        <w:t>r le calendrier de droit commun</w:t>
      </w:r>
      <w:r>
        <w:t xml:space="preserve"> pour un début de contrat signé au 1</w:t>
      </w:r>
      <w:r w:rsidRPr="004418FA">
        <w:rPr>
          <w:vertAlign w:val="superscript"/>
        </w:rPr>
        <w:t>er</w:t>
      </w:r>
      <w:r>
        <w:t xml:space="preserve"> septembre.</w:t>
      </w:r>
      <w:r w:rsidR="00A72204">
        <w:t xml:space="preserve"> Tous les dossiers sont auditionnés car ils sont peu nombreux.</w:t>
      </w:r>
    </w:p>
    <w:p w14:paraId="4F5C5C2B" w14:textId="0B97E82D" w:rsidR="00CA7ACF" w:rsidRDefault="004418FA" w:rsidP="00C27D41">
      <w:pPr>
        <w:pStyle w:val="Paragraphedeliste"/>
        <w:jc w:val="both"/>
      </w:pPr>
      <w:r w:rsidRPr="00F75E83">
        <w:rPr>
          <w:b/>
        </w:rPr>
        <w:t>L’université d’Angers</w:t>
      </w:r>
      <w:r w:rsidR="00A72204">
        <w:t xml:space="preserve"> a obtenu deux contrats doctoraux d’établissement. Trois ou quatre sujets seront proposés, pré</w:t>
      </w:r>
      <w:r w:rsidR="00F75E83">
        <w:t>-</w:t>
      </w:r>
      <w:r w:rsidR="00A72204">
        <w:t>classés par le laboratoire</w:t>
      </w:r>
      <w:r w:rsidR="00F75E83">
        <w:t xml:space="preserve">. </w:t>
      </w:r>
    </w:p>
    <w:p w14:paraId="35168A6F" w14:textId="6078354C" w:rsidR="00CA7ACF" w:rsidRDefault="00CA7ACF" w:rsidP="00C27D41">
      <w:pPr>
        <w:pStyle w:val="Paragraphedeliste"/>
        <w:jc w:val="both"/>
      </w:pPr>
      <w:r>
        <w:t xml:space="preserve">Deux nouveautés sur le site de </w:t>
      </w:r>
      <w:r w:rsidRPr="00F75E83">
        <w:rPr>
          <w:b/>
        </w:rPr>
        <w:t>Nantes Université</w:t>
      </w:r>
      <w:r>
        <w:t> ; vision sur cinq ans avec un fléchage des contrats doctoraux par laboratoire et la publicité obligatoire qui doit être réalisée par les laboratoires</w:t>
      </w:r>
      <w:r w:rsidR="00B608E5">
        <w:t xml:space="preserve"> </w:t>
      </w:r>
      <w:r w:rsidR="00393437">
        <w:t>avec une</w:t>
      </w:r>
      <w:r w:rsidR="00B608E5">
        <w:t xml:space="preserve"> mise en ligne des sujets sur la plateforme TEBL</w:t>
      </w:r>
      <w:r w:rsidR="00393437">
        <w:t xml:space="preserve"> réalisée par les porteurs de projets</w:t>
      </w:r>
      <w:r>
        <w:t xml:space="preserve">. </w:t>
      </w:r>
    </w:p>
    <w:p w14:paraId="71627F28" w14:textId="6BAC960C" w:rsidR="00CA7ACF" w:rsidRDefault="00CA7ACF" w:rsidP="00C27D41">
      <w:pPr>
        <w:pStyle w:val="Paragraphedeliste"/>
        <w:jc w:val="both"/>
      </w:pPr>
      <w:r>
        <w:t>Pour cette année, il y en aura trois pour DCS, deux pour l’IRDP et un pour le CDMO.</w:t>
      </w:r>
    </w:p>
    <w:p w14:paraId="7110AAB8" w14:textId="03A96227" w:rsidR="00B608E5" w:rsidRDefault="00B608E5" w:rsidP="00C27D41">
      <w:pPr>
        <w:pStyle w:val="Paragraphedeliste"/>
        <w:jc w:val="both"/>
      </w:pPr>
      <w:r>
        <w:t>Une procédure a été rédigé</w:t>
      </w:r>
      <w:r w:rsidR="00AE6617">
        <w:t>e</w:t>
      </w:r>
      <w:r>
        <w:t>, en accord avec les directeurs de laboratoire et les services de la présidence</w:t>
      </w:r>
      <w:r w:rsidR="00740552">
        <w:t>,</w:t>
      </w:r>
      <w:r>
        <w:t xml:space="preserve"> </w:t>
      </w:r>
      <w:r w:rsidR="00740552">
        <w:t xml:space="preserve">et le </w:t>
      </w:r>
      <w:r>
        <w:t>calendrier</w:t>
      </w:r>
      <w:r w:rsidR="00740552">
        <w:t xml:space="preserve"> a été fixé :</w:t>
      </w:r>
    </w:p>
    <w:p w14:paraId="16E9830D" w14:textId="77777777" w:rsidR="00B608E5" w:rsidRDefault="00B608E5" w:rsidP="00CA7ACF">
      <w:pPr>
        <w:pStyle w:val="Paragraphedeliste"/>
      </w:pPr>
    </w:p>
    <w:p w14:paraId="327FEA7F" w14:textId="04CFF8AC" w:rsidR="00B608E5" w:rsidRPr="00B608E5" w:rsidRDefault="00B608E5" w:rsidP="00B608E5">
      <w:pPr>
        <w:spacing w:after="0"/>
        <w:ind w:left="2127" w:hanging="1418"/>
        <w:rPr>
          <w:rFonts w:cstheme="minorHAnsi"/>
          <w:b/>
        </w:rPr>
      </w:pPr>
      <w:r w:rsidRPr="00B608E5">
        <w:rPr>
          <w:rFonts w:cstheme="minorHAnsi"/>
          <w:b/>
        </w:rPr>
        <w:t>Calendrier</w:t>
      </w:r>
      <w:r w:rsidR="00AE6617">
        <w:rPr>
          <w:rFonts w:cstheme="minorHAnsi"/>
          <w:b/>
        </w:rPr>
        <w:t xml:space="preserve"> nantais</w:t>
      </w:r>
      <w:r w:rsidRPr="00B608E5">
        <w:rPr>
          <w:rFonts w:cstheme="minorHAnsi"/>
          <w:b/>
        </w:rPr>
        <w:t xml:space="preserve"> 2023 </w:t>
      </w:r>
    </w:p>
    <w:p w14:paraId="5A27A47A" w14:textId="77777777" w:rsidR="00B608E5" w:rsidRPr="00B608E5" w:rsidRDefault="00B608E5" w:rsidP="00B608E5">
      <w:pPr>
        <w:spacing w:after="0"/>
        <w:ind w:left="2127" w:hanging="1418"/>
        <w:jc w:val="both"/>
        <w:rPr>
          <w:rFonts w:cstheme="minorHAnsi"/>
        </w:rPr>
      </w:pPr>
    </w:p>
    <w:p w14:paraId="3DDDD16F" w14:textId="77777777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 xml:space="preserve">5 mai </w:t>
      </w:r>
      <w:r w:rsidRPr="00B608E5">
        <w:rPr>
          <w:rFonts w:cstheme="minorHAnsi"/>
        </w:rPr>
        <w:tab/>
        <w:t>Date limite de remontée des sujets par les unités de recherche à l’Ecole Doctorale</w:t>
      </w:r>
    </w:p>
    <w:p w14:paraId="01B8657F" w14:textId="77777777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>10 mai</w:t>
      </w:r>
      <w:r w:rsidRPr="00B608E5">
        <w:rPr>
          <w:rFonts w:cstheme="minorHAnsi"/>
        </w:rPr>
        <w:tab/>
        <w:t>Date limite de mise en ligne des sujets sur la plateforme Thèses en Bretagne Loire (TEBL)</w:t>
      </w:r>
    </w:p>
    <w:p w14:paraId="1A1A6845" w14:textId="77777777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>19 juin</w:t>
      </w:r>
      <w:r w:rsidRPr="00B608E5">
        <w:rPr>
          <w:rFonts w:cstheme="minorHAnsi"/>
        </w:rPr>
        <w:tab/>
        <w:t>Date limite de dépôt des candidatures sur la plateforme TEBL</w:t>
      </w:r>
    </w:p>
    <w:p w14:paraId="021EDC37" w14:textId="663579C2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 xml:space="preserve">20 et 21 juin </w:t>
      </w:r>
      <w:r w:rsidRPr="00B608E5">
        <w:rPr>
          <w:rFonts w:cstheme="minorHAnsi"/>
        </w:rPr>
        <w:tab/>
        <w:t>Examen de la recevabilité des dossiers de candidature par l’ED</w:t>
      </w:r>
    </w:p>
    <w:p w14:paraId="74F2D67C" w14:textId="77777777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 xml:space="preserve">22 -23 juin </w:t>
      </w:r>
      <w:r w:rsidRPr="00B608E5">
        <w:rPr>
          <w:rFonts w:cstheme="minorHAnsi"/>
        </w:rPr>
        <w:tab/>
        <w:t>Sélection par les porteurs de sujets des dossiers en vue de l’oral d’admission</w:t>
      </w:r>
    </w:p>
    <w:p w14:paraId="231B4F35" w14:textId="77777777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 xml:space="preserve">26 juin </w:t>
      </w:r>
      <w:r w:rsidRPr="00B608E5">
        <w:rPr>
          <w:rFonts w:cstheme="minorHAnsi"/>
        </w:rPr>
        <w:tab/>
        <w:t>Envoi des courriers de convocation par l’ED</w:t>
      </w:r>
    </w:p>
    <w:p w14:paraId="69BA6DE8" w14:textId="142731B6" w:rsidR="00B608E5" w:rsidRPr="00B608E5" w:rsidRDefault="00B608E5" w:rsidP="00B608E5">
      <w:pPr>
        <w:spacing w:after="0" w:line="276" w:lineRule="auto"/>
        <w:ind w:left="2127" w:hanging="1418"/>
        <w:jc w:val="both"/>
        <w:rPr>
          <w:rFonts w:cstheme="minorHAnsi"/>
        </w:rPr>
      </w:pPr>
      <w:r w:rsidRPr="00B608E5">
        <w:rPr>
          <w:rFonts w:cstheme="minorHAnsi"/>
        </w:rPr>
        <w:t>3 Juillet</w:t>
      </w:r>
      <w:r w:rsidRPr="00B608E5">
        <w:rPr>
          <w:rFonts w:cstheme="minorHAnsi"/>
        </w:rPr>
        <w:tab/>
        <w:t>Oral d’admission et classement des candidats par le jury</w:t>
      </w:r>
    </w:p>
    <w:p w14:paraId="3B19CAB6" w14:textId="77777777" w:rsidR="00B608E5" w:rsidRPr="00B608E5" w:rsidRDefault="00B608E5" w:rsidP="00B608E5">
      <w:pPr>
        <w:pStyle w:val="Paragraphedeliste"/>
        <w:ind w:left="2127" w:hanging="1418"/>
      </w:pPr>
    </w:p>
    <w:p w14:paraId="1228638E" w14:textId="77777777" w:rsidR="00B608E5" w:rsidRDefault="00B608E5" w:rsidP="00CA7ACF">
      <w:pPr>
        <w:pStyle w:val="Paragraphedeliste"/>
      </w:pPr>
    </w:p>
    <w:p w14:paraId="58E7223B" w14:textId="77777777" w:rsidR="00F75E83" w:rsidRDefault="00F75E83" w:rsidP="00C27D41">
      <w:pPr>
        <w:pStyle w:val="Paragraphedeliste"/>
        <w:jc w:val="both"/>
      </w:pPr>
      <w:r>
        <w:t>Le jury sera maintenant composé de deux</w:t>
      </w:r>
      <w:r w:rsidR="00A100DF">
        <w:t xml:space="preserve"> représentants de DCS </w:t>
      </w:r>
      <w:r>
        <w:t>car</w:t>
      </w:r>
      <w:r w:rsidR="00A100DF">
        <w:t xml:space="preserve"> c'est le laboratoire qui a le plus de contrats doctoraux, un ensuite pour les </w:t>
      </w:r>
      <w:r>
        <w:t>deux</w:t>
      </w:r>
      <w:r w:rsidR="00A100DF">
        <w:t xml:space="preserve"> autres laboratoires et un membre extérieur au lieu de </w:t>
      </w:r>
      <w:r>
        <w:t>deux</w:t>
      </w:r>
      <w:r w:rsidR="00A100DF">
        <w:t xml:space="preserve"> auparavant. </w:t>
      </w:r>
    </w:p>
    <w:p w14:paraId="2C4C39A2" w14:textId="77777777" w:rsidR="00644695" w:rsidRDefault="00644695" w:rsidP="00CA7ACF">
      <w:pPr>
        <w:pStyle w:val="Paragraphedeliste"/>
      </w:pPr>
    </w:p>
    <w:p w14:paraId="029E8E57" w14:textId="77777777" w:rsidR="005A446A" w:rsidRPr="00600A29" w:rsidRDefault="005A446A" w:rsidP="005A446A">
      <w:pPr>
        <w:pStyle w:val="Paragraphedeliste"/>
        <w:numPr>
          <w:ilvl w:val="0"/>
          <w:numId w:val="6"/>
        </w:numPr>
        <w:spacing w:before="240" w:after="160" w:line="36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Questions diverses</w:t>
      </w:r>
    </w:p>
    <w:p w14:paraId="4D5EC714" w14:textId="38BF84D2" w:rsidR="008A38F5" w:rsidRDefault="008A38F5" w:rsidP="00C27D41">
      <w:pPr>
        <w:pStyle w:val="Paragraphedeliste"/>
        <w:jc w:val="both"/>
      </w:pPr>
      <w:r>
        <w:t xml:space="preserve">La formation sciences ouvertes n’est pas obligatoire pour les doctorants qui vont soutenir jusqu’en décembre 2023 mais celle à l’éthique reste indispensable. </w:t>
      </w:r>
      <w:r w:rsidR="00740552">
        <w:t>L</w:t>
      </w:r>
      <w:r>
        <w:t xml:space="preserve">e collège doctoral </w:t>
      </w:r>
      <w:r w:rsidR="00944E22">
        <w:t>organise une session avec l</w:t>
      </w:r>
      <w:r>
        <w:t>es 2 formations obligatoires</w:t>
      </w:r>
      <w:r w:rsidR="00944E22">
        <w:t xml:space="preserve"> sur une même journée.</w:t>
      </w:r>
    </w:p>
    <w:p w14:paraId="6AC04DA6" w14:textId="739CA695" w:rsidR="00944E22" w:rsidRDefault="00944E22" w:rsidP="00C27D41">
      <w:pPr>
        <w:pStyle w:val="Paragraphedeliste"/>
        <w:jc w:val="both"/>
      </w:pPr>
    </w:p>
    <w:p w14:paraId="5BAF9D76" w14:textId="54EE205C" w:rsidR="00944E22" w:rsidRDefault="00944E22" w:rsidP="00C27D41">
      <w:pPr>
        <w:pStyle w:val="Paragraphedeliste"/>
        <w:jc w:val="both"/>
      </w:pPr>
      <w:r>
        <w:t>De plus, lorsqu’une formation a lieu sur un seul site, le collège doctoral peut prendre en charge les frais de déplacement.</w:t>
      </w:r>
    </w:p>
    <w:p w14:paraId="51743EDE" w14:textId="77777777" w:rsidR="00944E22" w:rsidRDefault="00944E22" w:rsidP="008A38F5">
      <w:pPr>
        <w:pStyle w:val="Paragraphedeliste"/>
      </w:pPr>
    </w:p>
    <w:p w14:paraId="423F7216" w14:textId="77777777" w:rsidR="008108FD" w:rsidRPr="00CB5527" w:rsidRDefault="008108FD" w:rsidP="00C75D7E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17088C16" w14:textId="07C5F2B9" w:rsidR="00AF51F1" w:rsidRDefault="00AA5350" w:rsidP="00C75D7E">
      <w:pPr>
        <w:spacing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B5527">
        <w:rPr>
          <w:rFonts w:ascii="Times New Roman" w:hAnsi="Times New Roman" w:cs="Times New Roman"/>
          <w:b/>
          <w:i/>
          <w:sz w:val="22"/>
          <w:szCs w:val="22"/>
        </w:rPr>
        <w:t xml:space="preserve">Fin de la séance : </w:t>
      </w:r>
      <w:r w:rsidR="00944E22">
        <w:rPr>
          <w:rFonts w:ascii="Times New Roman" w:hAnsi="Times New Roman" w:cs="Times New Roman"/>
          <w:b/>
          <w:i/>
          <w:sz w:val="22"/>
          <w:szCs w:val="22"/>
        </w:rPr>
        <w:t>12h30</w:t>
      </w:r>
    </w:p>
    <w:sectPr w:rsidR="00AF51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3A2D" w14:textId="77777777" w:rsidR="00440092" w:rsidRDefault="00440092" w:rsidP="00AF51F1">
      <w:pPr>
        <w:spacing w:after="0"/>
      </w:pPr>
      <w:r>
        <w:separator/>
      </w:r>
    </w:p>
  </w:endnote>
  <w:endnote w:type="continuationSeparator" w:id="0">
    <w:p w14:paraId="7F54C4FE" w14:textId="77777777" w:rsidR="00440092" w:rsidRDefault="00440092" w:rsidP="00AF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8529" w14:textId="77777777" w:rsidR="00440092" w:rsidRDefault="00440092" w:rsidP="00AF51F1">
      <w:pPr>
        <w:spacing w:after="0"/>
      </w:pPr>
      <w:r>
        <w:separator/>
      </w:r>
    </w:p>
  </w:footnote>
  <w:footnote w:type="continuationSeparator" w:id="0">
    <w:p w14:paraId="4A5491D3" w14:textId="77777777" w:rsidR="00440092" w:rsidRDefault="00440092" w:rsidP="00AF51F1">
      <w:pPr>
        <w:spacing w:after="0"/>
      </w:pPr>
      <w:r>
        <w:continuationSeparator/>
      </w:r>
    </w:p>
  </w:footnote>
  <w:footnote w:id="1">
    <w:p w14:paraId="6DEB0949" w14:textId="08F5CF71" w:rsidR="00040AEF" w:rsidRPr="00040AEF" w:rsidRDefault="00040AEF" w:rsidP="00040AEF">
      <w:pPr>
        <w:pStyle w:val="Notedebasdepage"/>
      </w:pPr>
      <w:r w:rsidRPr="00520477">
        <w:rPr>
          <w:rStyle w:val="Appelnotedebasdep"/>
          <w:rFonts w:ascii="Book Antiqua" w:hAnsi="Book Antiqua"/>
        </w:rPr>
        <w:footnoteRef/>
      </w:r>
      <w:r w:rsidRPr="00520477">
        <w:rPr>
          <w:rFonts w:ascii="Book Antiqua" w:hAnsi="Book Antiqua"/>
        </w:rPr>
        <w:t xml:space="preserve"> Nouvelle procédure site de Nantes (PJ).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E59" w14:textId="77777777" w:rsidR="006D746F" w:rsidRDefault="006D746F">
    <w:pPr>
      <w:pStyle w:val="En-tte"/>
    </w:pPr>
    <w:r>
      <w:rPr>
        <w:noProof/>
      </w:rPr>
      <w:drawing>
        <wp:inline distT="0" distB="0" distL="0" distR="0" wp14:anchorId="0A5D983D" wp14:editId="43A613FB">
          <wp:extent cx="1704904" cy="4876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oit et science politique-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67" cy="49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F2D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2EE"/>
    <w:multiLevelType w:val="hybridMultilevel"/>
    <w:tmpl w:val="64CEC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769"/>
    <w:multiLevelType w:val="hybridMultilevel"/>
    <w:tmpl w:val="8D5C8D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6E78"/>
    <w:multiLevelType w:val="hybridMultilevel"/>
    <w:tmpl w:val="27D0A58A"/>
    <w:lvl w:ilvl="0" w:tplc="87CAECBA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917F77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0958"/>
    <w:multiLevelType w:val="hybridMultilevel"/>
    <w:tmpl w:val="892E39E0"/>
    <w:lvl w:ilvl="0" w:tplc="9ECEB36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81922724">
    <w:abstractNumId w:val="4"/>
  </w:num>
  <w:num w:numId="2" w16cid:durableId="1850438513">
    <w:abstractNumId w:val="0"/>
  </w:num>
  <w:num w:numId="3" w16cid:durableId="1851485051">
    <w:abstractNumId w:val="5"/>
  </w:num>
  <w:num w:numId="4" w16cid:durableId="1586180584">
    <w:abstractNumId w:val="3"/>
  </w:num>
  <w:num w:numId="5" w16cid:durableId="43452547">
    <w:abstractNumId w:val="1"/>
  </w:num>
  <w:num w:numId="6" w16cid:durableId="190895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1"/>
    <w:rsid w:val="00030A96"/>
    <w:rsid w:val="0003474E"/>
    <w:rsid w:val="00037E1E"/>
    <w:rsid w:val="00040AEF"/>
    <w:rsid w:val="00043656"/>
    <w:rsid w:val="000703D2"/>
    <w:rsid w:val="00090AB1"/>
    <w:rsid w:val="000A275D"/>
    <w:rsid w:val="000C521B"/>
    <w:rsid w:val="000D1671"/>
    <w:rsid w:val="000D361E"/>
    <w:rsid w:val="000D4317"/>
    <w:rsid w:val="000F15E5"/>
    <w:rsid w:val="000F2F85"/>
    <w:rsid w:val="000F6840"/>
    <w:rsid w:val="000F6FBB"/>
    <w:rsid w:val="00136A81"/>
    <w:rsid w:val="00137F17"/>
    <w:rsid w:val="00151839"/>
    <w:rsid w:val="0015381A"/>
    <w:rsid w:val="00156FA9"/>
    <w:rsid w:val="00160E54"/>
    <w:rsid w:val="00164AB5"/>
    <w:rsid w:val="00165DB1"/>
    <w:rsid w:val="001A01F4"/>
    <w:rsid w:val="001A554D"/>
    <w:rsid w:val="001C1A38"/>
    <w:rsid w:val="001C62CB"/>
    <w:rsid w:val="001C7012"/>
    <w:rsid w:val="001C74B9"/>
    <w:rsid w:val="001D73A4"/>
    <w:rsid w:val="00201D13"/>
    <w:rsid w:val="00204635"/>
    <w:rsid w:val="00231AA8"/>
    <w:rsid w:val="002422BF"/>
    <w:rsid w:val="00244CD6"/>
    <w:rsid w:val="00245EC9"/>
    <w:rsid w:val="002612BC"/>
    <w:rsid w:val="00267D89"/>
    <w:rsid w:val="0027282C"/>
    <w:rsid w:val="002922B2"/>
    <w:rsid w:val="00296234"/>
    <w:rsid w:val="002A7E50"/>
    <w:rsid w:val="002C2D1F"/>
    <w:rsid w:val="002C62D5"/>
    <w:rsid w:val="002C6C6C"/>
    <w:rsid w:val="002D1664"/>
    <w:rsid w:val="002D7E67"/>
    <w:rsid w:val="002E309C"/>
    <w:rsid w:val="002E624B"/>
    <w:rsid w:val="002F75AA"/>
    <w:rsid w:val="00300537"/>
    <w:rsid w:val="00316BD1"/>
    <w:rsid w:val="00324FFF"/>
    <w:rsid w:val="0034475B"/>
    <w:rsid w:val="00353718"/>
    <w:rsid w:val="0035448E"/>
    <w:rsid w:val="00360F11"/>
    <w:rsid w:val="00362214"/>
    <w:rsid w:val="00362867"/>
    <w:rsid w:val="00384719"/>
    <w:rsid w:val="00385BC8"/>
    <w:rsid w:val="003877EC"/>
    <w:rsid w:val="00391555"/>
    <w:rsid w:val="00393437"/>
    <w:rsid w:val="00395601"/>
    <w:rsid w:val="0039675F"/>
    <w:rsid w:val="003A6D6A"/>
    <w:rsid w:val="003E71F1"/>
    <w:rsid w:val="00402346"/>
    <w:rsid w:val="00412D97"/>
    <w:rsid w:val="00413235"/>
    <w:rsid w:val="004223F2"/>
    <w:rsid w:val="00423FE9"/>
    <w:rsid w:val="00440092"/>
    <w:rsid w:val="004418FA"/>
    <w:rsid w:val="0044773C"/>
    <w:rsid w:val="004534AA"/>
    <w:rsid w:val="00454B16"/>
    <w:rsid w:val="0046102B"/>
    <w:rsid w:val="004737C6"/>
    <w:rsid w:val="0048007F"/>
    <w:rsid w:val="004872B4"/>
    <w:rsid w:val="004916D7"/>
    <w:rsid w:val="004A692B"/>
    <w:rsid w:val="004B7FC7"/>
    <w:rsid w:val="004C4BDE"/>
    <w:rsid w:val="004C5AF4"/>
    <w:rsid w:val="004C6978"/>
    <w:rsid w:val="004C7825"/>
    <w:rsid w:val="004D0226"/>
    <w:rsid w:val="004E4693"/>
    <w:rsid w:val="004F1F4A"/>
    <w:rsid w:val="005163E3"/>
    <w:rsid w:val="00522EC7"/>
    <w:rsid w:val="0052468C"/>
    <w:rsid w:val="0053094F"/>
    <w:rsid w:val="00532B78"/>
    <w:rsid w:val="00560029"/>
    <w:rsid w:val="0057467C"/>
    <w:rsid w:val="005A446A"/>
    <w:rsid w:val="005C4B02"/>
    <w:rsid w:val="005D1780"/>
    <w:rsid w:val="005D5239"/>
    <w:rsid w:val="005E16F2"/>
    <w:rsid w:val="005E7177"/>
    <w:rsid w:val="005F2193"/>
    <w:rsid w:val="00600EBC"/>
    <w:rsid w:val="0062007F"/>
    <w:rsid w:val="00644695"/>
    <w:rsid w:val="00655598"/>
    <w:rsid w:val="00661356"/>
    <w:rsid w:val="006644CA"/>
    <w:rsid w:val="0067039F"/>
    <w:rsid w:val="00670830"/>
    <w:rsid w:val="006821AC"/>
    <w:rsid w:val="0069034A"/>
    <w:rsid w:val="0069082D"/>
    <w:rsid w:val="00690B86"/>
    <w:rsid w:val="006977E4"/>
    <w:rsid w:val="006B2617"/>
    <w:rsid w:val="006C0D62"/>
    <w:rsid w:val="006C6679"/>
    <w:rsid w:val="006D0A85"/>
    <w:rsid w:val="006D746F"/>
    <w:rsid w:val="006F4862"/>
    <w:rsid w:val="006F4CD7"/>
    <w:rsid w:val="006F6E1D"/>
    <w:rsid w:val="00705C5D"/>
    <w:rsid w:val="00740552"/>
    <w:rsid w:val="00742215"/>
    <w:rsid w:val="00746B3A"/>
    <w:rsid w:val="00752058"/>
    <w:rsid w:val="00752800"/>
    <w:rsid w:val="007627A6"/>
    <w:rsid w:val="00764F47"/>
    <w:rsid w:val="0078422A"/>
    <w:rsid w:val="00786EF8"/>
    <w:rsid w:val="00796EAC"/>
    <w:rsid w:val="007A7460"/>
    <w:rsid w:val="007D4BDB"/>
    <w:rsid w:val="007F4A9F"/>
    <w:rsid w:val="007F6A80"/>
    <w:rsid w:val="008108FD"/>
    <w:rsid w:val="00817D07"/>
    <w:rsid w:val="00820C20"/>
    <w:rsid w:val="008439B2"/>
    <w:rsid w:val="008458E6"/>
    <w:rsid w:val="008725A1"/>
    <w:rsid w:val="00881A72"/>
    <w:rsid w:val="008857BE"/>
    <w:rsid w:val="008A38F5"/>
    <w:rsid w:val="008C06B5"/>
    <w:rsid w:val="008E0122"/>
    <w:rsid w:val="008E1C20"/>
    <w:rsid w:val="008E1F3D"/>
    <w:rsid w:val="0090121F"/>
    <w:rsid w:val="00903E5F"/>
    <w:rsid w:val="00923EF7"/>
    <w:rsid w:val="0092404E"/>
    <w:rsid w:val="00942778"/>
    <w:rsid w:val="00944E22"/>
    <w:rsid w:val="0095696D"/>
    <w:rsid w:val="009847E5"/>
    <w:rsid w:val="009905F0"/>
    <w:rsid w:val="00993FE5"/>
    <w:rsid w:val="009E19E8"/>
    <w:rsid w:val="00A100DF"/>
    <w:rsid w:val="00A12737"/>
    <w:rsid w:val="00A16099"/>
    <w:rsid w:val="00A2462A"/>
    <w:rsid w:val="00A37A61"/>
    <w:rsid w:val="00A5184C"/>
    <w:rsid w:val="00A679B9"/>
    <w:rsid w:val="00A72204"/>
    <w:rsid w:val="00A9041B"/>
    <w:rsid w:val="00AA5350"/>
    <w:rsid w:val="00AB2DF4"/>
    <w:rsid w:val="00AB3031"/>
    <w:rsid w:val="00AB6C98"/>
    <w:rsid w:val="00AD0A45"/>
    <w:rsid w:val="00AD3955"/>
    <w:rsid w:val="00AE6617"/>
    <w:rsid w:val="00AF28F1"/>
    <w:rsid w:val="00AF51F1"/>
    <w:rsid w:val="00B21441"/>
    <w:rsid w:val="00B36F72"/>
    <w:rsid w:val="00B42378"/>
    <w:rsid w:val="00B5499C"/>
    <w:rsid w:val="00B54A65"/>
    <w:rsid w:val="00B608E5"/>
    <w:rsid w:val="00B6237A"/>
    <w:rsid w:val="00B67294"/>
    <w:rsid w:val="00B7359A"/>
    <w:rsid w:val="00BA0E7C"/>
    <w:rsid w:val="00BA2A5B"/>
    <w:rsid w:val="00BE1B20"/>
    <w:rsid w:val="00C0309F"/>
    <w:rsid w:val="00C13F34"/>
    <w:rsid w:val="00C27D41"/>
    <w:rsid w:val="00C31A9F"/>
    <w:rsid w:val="00C504B4"/>
    <w:rsid w:val="00C53BCA"/>
    <w:rsid w:val="00C55159"/>
    <w:rsid w:val="00C72314"/>
    <w:rsid w:val="00C75D7E"/>
    <w:rsid w:val="00C82AE6"/>
    <w:rsid w:val="00C92D60"/>
    <w:rsid w:val="00CA329A"/>
    <w:rsid w:val="00CA7ACF"/>
    <w:rsid w:val="00CB3918"/>
    <w:rsid w:val="00CB5527"/>
    <w:rsid w:val="00CC2D41"/>
    <w:rsid w:val="00CC336E"/>
    <w:rsid w:val="00CC3A70"/>
    <w:rsid w:val="00CD690F"/>
    <w:rsid w:val="00CE0BF4"/>
    <w:rsid w:val="00CE5D9C"/>
    <w:rsid w:val="00D04B20"/>
    <w:rsid w:val="00D1409D"/>
    <w:rsid w:val="00D27051"/>
    <w:rsid w:val="00D305F3"/>
    <w:rsid w:val="00D37C4D"/>
    <w:rsid w:val="00D44B4D"/>
    <w:rsid w:val="00D53D67"/>
    <w:rsid w:val="00D560FA"/>
    <w:rsid w:val="00D66868"/>
    <w:rsid w:val="00D71533"/>
    <w:rsid w:val="00DC1735"/>
    <w:rsid w:val="00DC2EA6"/>
    <w:rsid w:val="00DD377A"/>
    <w:rsid w:val="00DF2677"/>
    <w:rsid w:val="00E174AE"/>
    <w:rsid w:val="00E24901"/>
    <w:rsid w:val="00E403A5"/>
    <w:rsid w:val="00E40F83"/>
    <w:rsid w:val="00E448AE"/>
    <w:rsid w:val="00E47E05"/>
    <w:rsid w:val="00E50051"/>
    <w:rsid w:val="00E67750"/>
    <w:rsid w:val="00E90467"/>
    <w:rsid w:val="00EB299B"/>
    <w:rsid w:val="00EC220E"/>
    <w:rsid w:val="00EC3E60"/>
    <w:rsid w:val="00ED246B"/>
    <w:rsid w:val="00F039FB"/>
    <w:rsid w:val="00F27EC2"/>
    <w:rsid w:val="00F30568"/>
    <w:rsid w:val="00F3646B"/>
    <w:rsid w:val="00F75E83"/>
    <w:rsid w:val="00FB12DF"/>
    <w:rsid w:val="00FB4C65"/>
    <w:rsid w:val="00FB6732"/>
    <w:rsid w:val="00FD0E9E"/>
    <w:rsid w:val="00FD228F"/>
    <w:rsid w:val="00FE31FD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2883"/>
  <w15:chartTrackingRefBased/>
  <w15:docId w15:val="{822A58F7-D809-41E6-B909-B606E063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F1"/>
    <w:pPr>
      <w:spacing w:after="120" w:line="240" w:lineRule="auto"/>
    </w:pPr>
    <w:rPr>
      <w:rFonts w:asciiTheme="minorHAnsi" w:eastAsiaTheme="minorEastAsia" w:hAnsiTheme="minorHAns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F51F1"/>
    <w:pPr>
      <w:spacing w:after="0"/>
      <w:jc w:val="center"/>
    </w:pPr>
    <w:rPr>
      <w:rFonts w:asciiTheme="majorHAnsi" w:eastAsiaTheme="majorEastAsia" w:hAnsiTheme="majorHAnsi" w:cstheme="majorBidi"/>
      <w:spacing w:val="10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F51F1"/>
    <w:rPr>
      <w:rFonts w:asciiTheme="majorHAnsi" w:eastAsiaTheme="majorEastAsia" w:hAnsiTheme="majorHAnsi" w:cstheme="majorBidi"/>
      <w:spacing w:val="10"/>
      <w:sz w:val="44"/>
      <w:szCs w:val="52"/>
    </w:rPr>
  </w:style>
  <w:style w:type="paragraph" w:styleId="Paragraphedeliste">
    <w:name w:val="List Paragraph"/>
    <w:basedOn w:val="Normal"/>
    <w:uiPriority w:val="34"/>
    <w:qFormat/>
    <w:rsid w:val="00AF51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2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32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329A"/>
  </w:style>
  <w:style w:type="character" w:customStyle="1" w:styleId="CommentaireCar">
    <w:name w:val="Commentaire Car"/>
    <w:basedOn w:val="Policepardfaut"/>
    <w:link w:val="Commentaire"/>
    <w:uiPriority w:val="99"/>
    <w:semiHidden/>
    <w:rsid w:val="00CA329A"/>
    <w:rPr>
      <w:rFonts w:asciiTheme="minorHAnsi" w:eastAsiaTheme="minorEastAsia" w:hAnsi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32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329A"/>
    <w:rPr>
      <w:rFonts w:asciiTheme="minorHAnsi" w:eastAsiaTheme="minorEastAsia" w:hAnsiTheme="min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A"/>
    <w:rPr>
      <w:rFonts w:ascii="Segoe UI" w:eastAsiaTheme="minorEastAsia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E1F3D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0AEF"/>
    <w:pPr>
      <w:spacing w:after="0"/>
    </w:pPr>
    <w:rPr>
      <w:rFonts w:eastAsiaTheme="minorHAns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0AEF"/>
    <w:rPr>
      <w:rFonts w:asciiTheme="minorHAnsi" w:hAnsiTheme="min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0AEF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3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3D6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53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E55F-8205-4714-9E35-2DF7FB92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ROUSSEAU</dc:creator>
  <cp:keywords/>
  <dc:description/>
  <cp:lastModifiedBy>Utilisateur</cp:lastModifiedBy>
  <cp:revision>4</cp:revision>
  <dcterms:created xsi:type="dcterms:W3CDTF">2023-06-13T06:44:00Z</dcterms:created>
  <dcterms:modified xsi:type="dcterms:W3CDTF">2023-06-27T15:44:00Z</dcterms:modified>
</cp:coreProperties>
</file>